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744072A3" w:rsidR="00051616" w:rsidRPr="008824AD" w:rsidRDefault="00051616" w:rsidP="00051616">
      <w:pPr>
        <w:pStyle w:val="Header"/>
        <w:rPr>
          <w:rFonts w:cs="Arial"/>
          <w:bCs/>
          <w:noProof w:val="0"/>
          <w:sz w:val="24"/>
          <w:lang w:val="en-GB"/>
        </w:rPr>
      </w:pPr>
      <w:r w:rsidRPr="008824AD">
        <w:rPr>
          <w:rFonts w:cs="Arial"/>
          <w:bCs/>
          <w:noProof w:val="0"/>
          <w:sz w:val="24"/>
          <w:lang w:val="en-GB"/>
        </w:rPr>
        <w:t>3GPP TSG RAN WG1 Meeting #9</w:t>
      </w:r>
      <w:r w:rsidR="00162A24">
        <w:rPr>
          <w:rFonts w:cs="Arial"/>
          <w:bCs/>
          <w:noProof w:val="0"/>
          <w:sz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B60796" w:rsidRPr="00B60796">
        <w:rPr>
          <w:rFonts w:cs="Arial"/>
          <w:bCs/>
          <w:noProof w:val="0"/>
          <w:sz w:val="24"/>
          <w:lang w:val="en-GB"/>
        </w:rPr>
        <w:t>R1-1806105</w:t>
      </w:r>
    </w:p>
    <w:p w14:paraId="1B7A890A" w14:textId="58C936FD" w:rsidR="00051616" w:rsidRDefault="009C3031" w:rsidP="00051616">
      <w:pPr>
        <w:pStyle w:val="Header"/>
        <w:rPr>
          <w:rFonts w:cs="Arial"/>
          <w:bCs/>
          <w:noProof w:val="0"/>
          <w:sz w:val="24"/>
          <w:lang w:val="en-GB"/>
        </w:rPr>
      </w:pPr>
      <w:r w:rsidRPr="009C3031">
        <w:rPr>
          <w:rFonts w:cs="Arial"/>
          <w:bCs/>
          <w:noProof w:val="0"/>
          <w:sz w:val="24"/>
          <w:lang w:val="en-GB"/>
        </w:rPr>
        <w:t>Busan, Korea, May 21st – 25th, 2018</w:t>
      </w:r>
    </w:p>
    <w:p w14:paraId="4E847B5D" w14:textId="77777777" w:rsidR="006B10EA" w:rsidRPr="0016316A" w:rsidRDefault="006B10EA" w:rsidP="00CA26CE">
      <w:pPr>
        <w:pStyle w:val="Header"/>
        <w:rPr>
          <w:bCs/>
          <w:noProof w:val="0"/>
          <w:sz w:val="24"/>
          <w:lang w:val="en-GB" w:eastAsia="ja-JP"/>
        </w:rPr>
      </w:pPr>
    </w:p>
    <w:p w14:paraId="08AC4AD5" w14:textId="677ADC83"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E0A7D">
        <w:rPr>
          <w:rFonts w:eastAsia="SimSun" w:cs="Arial"/>
          <w:b/>
          <w:bCs/>
          <w:sz w:val="24"/>
        </w:rPr>
        <w:t>7</w:t>
      </w:r>
      <w:r w:rsidR="00256B73" w:rsidRPr="007730D8">
        <w:rPr>
          <w:rFonts w:eastAsia="SimSun" w:cs="Arial"/>
          <w:b/>
          <w:bCs/>
          <w:sz w:val="24"/>
        </w:rPr>
        <w:t>.</w:t>
      </w:r>
      <w:r w:rsidR="006B10EA">
        <w:rPr>
          <w:rFonts w:eastAsia="SimSun" w:cs="Arial"/>
          <w:b/>
          <w:bCs/>
          <w:sz w:val="24"/>
        </w:rPr>
        <w:t>6.</w:t>
      </w:r>
      <w:r w:rsidR="00051616">
        <w:rPr>
          <w:rFonts w:eastAsia="SimSun" w:cs="Arial"/>
          <w:b/>
          <w:bCs/>
          <w:sz w:val="24"/>
        </w:rPr>
        <w:t>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30FEB73F"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051616">
        <w:rPr>
          <w:rFonts w:ascii="Arial" w:hAnsi="Arial" w:cs="Arial"/>
          <w:b/>
          <w:bCs/>
          <w:sz w:val="24"/>
        </w:rPr>
        <w:t>Frame structure for NR-U operation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492A6F3A" w:rsidR="00255F73" w:rsidRDefault="00CC36D2" w:rsidP="00255F73">
      <w:pPr>
        <w:spacing w:after="120"/>
        <w:jc w:val="both"/>
        <w:rPr>
          <w:rFonts w:eastAsia="Times New Roman"/>
          <w:szCs w:val="24"/>
          <w:lang w:val="en-US" w:eastAsia="fi-FI"/>
        </w:rPr>
      </w:pPr>
      <w:r>
        <w:rPr>
          <w:rFonts w:eastAsia="Times New Roman"/>
          <w:szCs w:val="24"/>
          <w:lang w:val="en-US" w:eastAsia="fi-FI"/>
        </w:rPr>
        <w:t>To</w:t>
      </w:r>
      <w:r w:rsidR="00F76410">
        <w:rPr>
          <w:rFonts w:eastAsia="Times New Roman"/>
          <w:szCs w:val="24"/>
          <w:lang w:val="en-US" w:eastAsia="fi-FI"/>
        </w:rPr>
        <w:t xml:space="preserve"> maximize the applicability of NR-</w:t>
      </w:r>
      <w:r w:rsidR="00444190">
        <w:rPr>
          <w:rFonts w:eastAsia="Times New Roman"/>
          <w:szCs w:val="24"/>
          <w:lang w:val="en-US" w:eastAsia="fi-FI"/>
        </w:rPr>
        <w:t>based access, it i</w:t>
      </w:r>
      <w:r w:rsidR="00F76410">
        <w:rPr>
          <w:rFonts w:eastAsia="Times New Roman"/>
          <w:szCs w:val="24"/>
          <w:lang w:val="en-US" w:eastAsia="fi-FI"/>
        </w:rPr>
        <w:t xml:space="preserve">s beneficial to study solutions applicable to unlicensed bands scenarios as part of the NR development. </w:t>
      </w:r>
      <w:r w:rsidR="00A23069">
        <w:rPr>
          <w:rFonts w:eastAsia="Times New Roman"/>
          <w:szCs w:val="24"/>
          <w:lang w:val="en-US" w:eastAsia="fi-FI"/>
        </w:rPr>
        <w:t>In this contribution</w:t>
      </w:r>
      <w:r>
        <w:rPr>
          <w:rFonts w:eastAsia="Times New Roman"/>
          <w:szCs w:val="24"/>
          <w:lang w:val="en-US" w:eastAsia="fi-FI"/>
        </w:rPr>
        <w:t>,</w:t>
      </w:r>
      <w:r w:rsidR="00A23069">
        <w:rPr>
          <w:rFonts w:eastAsia="Times New Roman"/>
          <w:szCs w:val="24"/>
          <w:lang w:val="en-US" w:eastAsia="fi-FI"/>
        </w:rPr>
        <w:t xml:space="preserve"> we consider </w:t>
      </w:r>
      <w:r w:rsidR="00051616">
        <w:rPr>
          <w:rFonts w:eastAsia="Times New Roman"/>
          <w:szCs w:val="24"/>
          <w:lang w:val="en-US" w:eastAsia="fi-FI"/>
        </w:rPr>
        <w:t xml:space="preserve">issues related to NR-U frame structure. </w:t>
      </w:r>
      <w:r w:rsidR="00A23069">
        <w:rPr>
          <w:rFonts w:eastAsia="Times New Roman"/>
          <w:szCs w:val="24"/>
          <w:lang w:val="en-US" w:eastAsia="fi-FI"/>
        </w:rPr>
        <w:t>We consider the following topics:</w:t>
      </w:r>
    </w:p>
    <w:p w14:paraId="09FF4B7F" w14:textId="77777777" w:rsidR="00051616" w:rsidRDefault="00C53BBB"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 xml:space="preserve">Numerology </w:t>
      </w:r>
    </w:p>
    <w:p w14:paraId="2EF0C15D" w14:textId="562F70F4" w:rsidR="00C53BBB" w:rsidRDefault="00051616"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W</w:t>
      </w:r>
      <w:r w:rsidR="00C53BBB">
        <w:rPr>
          <w:rFonts w:eastAsia="Times New Roman"/>
          <w:sz w:val="20"/>
          <w:lang w:val="en-US" w:eastAsia="fi-FI"/>
        </w:rPr>
        <w:t>aveform</w:t>
      </w:r>
    </w:p>
    <w:p w14:paraId="319C2653" w14:textId="6D7FBF65" w:rsidR="00200E97" w:rsidRDefault="00CC75DE"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Frame st</w:t>
      </w:r>
      <w:r w:rsidR="00051616">
        <w:rPr>
          <w:rFonts w:eastAsia="Times New Roman"/>
          <w:sz w:val="20"/>
          <w:lang w:val="en-US" w:eastAsia="fi-FI"/>
        </w:rPr>
        <w:t>r</w:t>
      </w:r>
      <w:r>
        <w:rPr>
          <w:rFonts w:eastAsia="Times New Roman"/>
          <w:sz w:val="20"/>
          <w:lang w:val="en-US" w:eastAsia="fi-FI"/>
        </w:rPr>
        <w:t>u</w:t>
      </w:r>
      <w:r w:rsidR="00051616">
        <w:rPr>
          <w:rFonts w:eastAsia="Times New Roman"/>
          <w:sz w:val="20"/>
          <w:lang w:val="en-US" w:eastAsia="fi-FI"/>
        </w:rPr>
        <w:t>cture</w:t>
      </w:r>
    </w:p>
    <w:p w14:paraId="431A31CA" w14:textId="77777777" w:rsidR="0066025B" w:rsidRDefault="009C3031" w:rsidP="0066025B">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Burst detection</w:t>
      </w:r>
    </w:p>
    <w:p w14:paraId="17553ECD" w14:textId="5A6A2800" w:rsidR="00A37134" w:rsidRPr="006960DC" w:rsidRDefault="0066025B" w:rsidP="0066025B">
      <w:pPr>
        <w:pStyle w:val="ListParagraph"/>
        <w:numPr>
          <w:ilvl w:val="0"/>
          <w:numId w:val="18"/>
        </w:numPr>
        <w:spacing w:after="120"/>
        <w:jc w:val="both"/>
        <w:rPr>
          <w:rFonts w:eastAsia="Times New Roman"/>
          <w:sz w:val="20"/>
          <w:lang w:val="en-US" w:eastAsia="fi-FI"/>
        </w:rPr>
      </w:pPr>
      <w:r w:rsidRPr="006960DC">
        <w:rPr>
          <w:rFonts w:eastAsia="Times New Roman"/>
          <w:sz w:val="20"/>
          <w:lang w:val="en-US" w:eastAsia="fi-FI"/>
        </w:rPr>
        <w:t>COT structure</w:t>
      </w:r>
      <w:r>
        <w:rPr>
          <w:rFonts w:eastAsia="Times New Roman"/>
          <w:sz w:val="20"/>
          <w:lang w:val="en-US" w:eastAsia="fi-FI"/>
        </w:rPr>
        <w:t xml:space="preserve"> indication</w:t>
      </w:r>
    </w:p>
    <w:p w14:paraId="3C370327" w14:textId="145967DB" w:rsidR="00A37134" w:rsidRDefault="00B84E51" w:rsidP="006960DC">
      <w:pPr>
        <w:spacing w:after="120"/>
        <w:jc w:val="both"/>
        <w:rPr>
          <w:rFonts w:eastAsia="Times New Roman"/>
          <w:lang w:val="en-US" w:eastAsia="fi-FI"/>
        </w:rPr>
      </w:pPr>
      <w:r w:rsidRPr="00941880">
        <w:rPr>
          <w:rFonts w:eastAsia="Times New Roman"/>
          <w:lang w:val="en-US" w:eastAsia="fi-FI"/>
        </w:rPr>
        <w:t>The following agreements</w:t>
      </w:r>
      <w:r w:rsidR="00A37134" w:rsidRPr="006960DC">
        <w:rPr>
          <w:rFonts w:eastAsia="Times New Roman"/>
          <w:lang w:val="en-US" w:eastAsia="fi-FI"/>
        </w:rPr>
        <w:t xml:space="preserve"> related to </w:t>
      </w:r>
      <w:r w:rsidR="00965609">
        <w:rPr>
          <w:rFonts w:eastAsia="Times New Roman"/>
          <w:lang w:val="en-US" w:eastAsia="fi-FI"/>
        </w:rPr>
        <w:t>frame structure for NR-U</w:t>
      </w:r>
      <w:r w:rsidR="00A37134" w:rsidRPr="006960DC">
        <w:rPr>
          <w:rFonts w:eastAsia="Times New Roman"/>
          <w:lang w:val="en-US" w:eastAsia="fi-FI"/>
        </w:rPr>
        <w:t xml:space="preserve"> were made in RAN1#92bis [2]</w:t>
      </w:r>
      <w:r w:rsidR="00A2219E">
        <w:rPr>
          <w:rFonts w:eastAsia="Times New Roman"/>
          <w:lang w:val="en-US" w:eastAsia="fi-FI"/>
        </w:rPr>
        <w:t>:</w:t>
      </w:r>
    </w:p>
    <w:p w14:paraId="56C0CB62" w14:textId="77777777" w:rsidR="00965609" w:rsidRPr="00085D5D" w:rsidRDefault="00965609" w:rsidP="006960DC">
      <w:pPr>
        <w:spacing w:after="0"/>
      </w:pPr>
      <w:r w:rsidRPr="005C369E">
        <w:rPr>
          <w:highlight w:val="green"/>
        </w:rPr>
        <w:t>Agreement:</w:t>
      </w:r>
    </w:p>
    <w:p w14:paraId="3D474093" w14:textId="77777777" w:rsidR="00965609" w:rsidRPr="006960DC" w:rsidRDefault="00965609" w:rsidP="00965609">
      <w:pPr>
        <w:widowControl w:val="0"/>
        <w:numPr>
          <w:ilvl w:val="0"/>
          <w:numId w:val="36"/>
        </w:numPr>
        <w:overflowPunct/>
        <w:autoSpaceDE/>
        <w:autoSpaceDN/>
        <w:adjustRightInd/>
        <w:spacing w:after="0"/>
        <w:jc w:val="both"/>
        <w:textAlignment w:val="auto"/>
        <w:rPr>
          <w:i/>
          <w:lang w:val="en-US"/>
        </w:rPr>
      </w:pPr>
      <w:r w:rsidRPr="006960DC">
        <w:rPr>
          <w:i/>
          <w:lang w:val="en-US"/>
        </w:rPr>
        <w:t xml:space="preserve">NR-U supports both Type-A and Type-B mapping already supported in NR </w:t>
      </w:r>
    </w:p>
    <w:p w14:paraId="7185164D"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Additional starting positions and durations are not precluded</w:t>
      </w:r>
    </w:p>
    <w:p w14:paraId="19B56C14" w14:textId="77777777" w:rsidR="00965609" w:rsidRPr="006960DC" w:rsidRDefault="00965609" w:rsidP="00965609">
      <w:pPr>
        <w:widowControl w:val="0"/>
        <w:numPr>
          <w:ilvl w:val="0"/>
          <w:numId w:val="37"/>
        </w:numPr>
        <w:overflowPunct/>
        <w:autoSpaceDE/>
        <w:autoSpaceDN/>
        <w:adjustRightInd/>
        <w:spacing w:after="0"/>
        <w:jc w:val="both"/>
        <w:textAlignment w:val="auto"/>
        <w:rPr>
          <w:i/>
          <w:lang w:val="en-US"/>
        </w:rPr>
      </w:pPr>
      <w:r w:rsidRPr="006960DC">
        <w:rPr>
          <w:i/>
          <w:lang w:val="en-US"/>
        </w:rPr>
        <w:t>For sub-7 GHz, NR-U study the SCSs, 15/30/60KHz</w:t>
      </w:r>
    </w:p>
    <w:p w14:paraId="60000884"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Study performance difference between different SCS</w:t>
      </w:r>
    </w:p>
    <w:p w14:paraId="7C539434"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Study if changes to UL design are needed to meet the PSD and OCB requirements</w:t>
      </w:r>
    </w:p>
    <w:p w14:paraId="2D699071"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 xml:space="preserve">Study if an SS block design/RMSI/OSI with 60KHz SCS is needed </w:t>
      </w:r>
    </w:p>
    <w:p w14:paraId="45D71B23"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 xml:space="preserve">Impact on MIB and SIB1 content </w:t>
      </w:r>
    </w:p>
    <w:p w14:paraId="6838F09E"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Need for use of ECP for 60KHz</w:t>
      </w:r>
    </w:p>
    <w:p w14:paraId="6B73D49B"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RACH design with 60KHz SCS in addition to options currently part of NR</w:t>
      </w:r>
    </w:p>
    <w:p w14:paraId="55B03E23"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 xml:space="preserve">Other considerations are not precluded. </w:t>
      </w:r>
    </w:p>
    <w:p w14:paraId="654C9A0E"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Impact on support of different BWs with different SCS</w:t>
      </w:r>
    </w:p>
    <w:p w14:paraId="46BF0704" w14:textId="77777777" w:rsidR="00965609" w:rsidRPr="006960DC" w:rsidRDefault="00965609" w:rsidP="00965609">
      <w:pPr>
        <w:widowControl w:val="0"/>
        <w:numPr>
          <w:ilvl w:val="0"/>
          <w:numId w:val="37"/>
        </w:numPr>
        <w:overflowPunct/>
        <w:autoSpaceDE/>
        <w:autoSpaceDN/>
        <w:adjustRightInd/>
        <w:spacing w:after="0"/>
        <w:jc w:val="both"/>
        <w:textAlignment w:val="auto"/>
        <w:rPr>
          <w:i/>
          <w:lang w:val="en-US"/>
        </w:rPr>
      </w:pPr>
      <w:r w:rsidRPr="006960DC">
        <w:rPr>
          <w:i/>
          <w:lang w:val="en-US"/>
        </w:rPr>
        <w:t>Study supporting more than one switching points within a TxOP</w:t>
      </w:r>
    </w:p>
    <w:p w14:paraId="297D0EEE" w14:textId="77777777" w:rsidR="00965609" w:rsidRPr="006960DC" w:rsidRDefault="00965609" w:rsidP="00965609">
      <w:pPr>
        <w:widowControl w:val="0"/>
        <w:numPr>
          <w:ilvl w:val="1"/>
          <w:numId w:val="37"/>
        </w:numPr>
        <w:overflowPunct/>
        <w:autoSpaceDE/>
        <w:autoSpaceDN/>
        <w:adjustRightInd/>
        <w:spacing w:after="0"/>
        <w:jc w:val="both"/>
        <w:textAlignment w:val="auto"/>
        <w:rPr>
          <w:i/>
          <w:lang w:val="en-US"/>
        </w:rPr>
      </w:pPr>
      <w:r w:rsidRPr="006960DC">
        <w:rPr>
          <w:i/>
          <w:lang w:val="en-US"/>
        </w:rPr>
        <w:t>FFS the LBT requirement for each DL/UL data/control burst in the TxOP</w:t>
      </w:r>
    </w:p>
    <w:p w14:paraId="638DECC2" w14:textId="77777777" w:rsidR="00965609" w:rsidRPr="006960DC" w:rsidRDefault="00965609" w:rsidP="006960DC">
      <w:pPr>
        <w:spacing w:after="120"/>
        <w:jc w:val="both"/>
        <w:rPr>
          <w:rFonts w:eastAsia="Times New Roman"/>
          <w:lang w:val="en-US" w:eastAsia="fi-FI"/>
        </w:rPr>
      </w:pPr>
    </w:p>
    <w:p w14:paraId="5CC19A96" w14:textId="77777777" w:rsidR="00A37134" w:rsidRPr="006960DC" w:rsidRDefault="00A37134" w:rsidP="006960DC">
      <w:pPr>
        <w:spacing w:after="120"/>
        <w:jc w:val="both"/>
        <w:rPr>
          <w:rFonts w:eastAsia="Times New Roman"/>
          <w:strike/>
          <w:lang w:val="en-US" w:eastAsia="fi-FI"/>
        </w:rPr>
      </w:pPr>
    </w:p>
    <w:p w14:paraId="5CC1B524" w14:textId="4D8866BB" w:rsidR="00186C5C" w:rsidRPr="001F28AA" w:rsidRDefault="00186C5C" w:rsidP="00186C5C">
      <w:pPr>
        <w:pStyle w:val="Heading1"/>
      </w:pPr>
      <w:r>
        <w:rPr>
          <w:color w:val="000000"/>
        </w:rPr>
        <w:t>2</w:t>
      </w:r>
      <w:r w:rsidRPr="00A51522">
        <w:rPr>
          <w:color w:val="000000"/>
        </w:rPr>
        <w:tab/>
      </w:r>
      <w:r w:rsidR="00200E97">
        <w:t>Numerology and waveforms</w:t>
      </w:r>
    </w:p>
    <w:p w14:paraId="413235A3" w14:textId="213BEAD3" w:rsidR="00C214B4" w:rsidRPr="006276B8" w:rsidRDefault="00C214B4" w:rsidP="00C214B4">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Pr>
          <w:sz w:val="28"/>
        </w:rPr>
        <w:t>Numerology</w:t>
      </w:r>
    </w:p>
    <w:p w14:paraId="33C66061" w14:textId="4A7FF09C" w:rsidR="009422A9" w:rsidRPr="009422A9" w:rsidRDefault="00AB6F48" w:rsidP="009422A9">
      <w:pPr>
        <w:spacing w:after="0"/>
        <w:jc w:val="both"/>
        <w:rPr>
          <w:lang w:val="en-US" w:eastAsia="x-none"/>
        </w:rPr>
      </w:pPr>
      <w:r>
        <w:rPr>
          <w:lang w:val="en-US" w:eastAsia="x-none"/>
        </w:rPr>
        <w:t xml:space="preserve">Support for multiple numerologies is one of the basic features in NR. </w:t>
      </w:r>
      <w:r>
        <w:t>Table 4.2-1 captured from TS 38.211 shows the transmission numerologies supported by NR.</w:t>
      </w:r>
      <w:r w:rsidR="009422A9">
        <w:t xml:space="preserve"> </w:t>
      </w:r>
      <w:r w:rsidR="00BC4958">
        <w:rPr>
          <w:lang w:val="en-US" w:eastAsia="x-none"/>
        </w:rPr>
        <w:t>It is well known that</w:t>
      </w:r>
      <w:r w:rsidR="009422A9">
        <w:rPr>
          <w:lang w:val="en-US" w:eastAsia="x-none"/>
        </w:rPr>
        <w:t xml:space="preserve"> larger subcarrier spacing leads to:</w:t>
      </w:r>
    </w:p>
    <w:p w14:paraId="5C6C3FDB"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larger carrier bandwidth for a given FFT size,</w:t>
      </w:r>
    </w:p>
    <w:p w14:paraId="3FDA8D80"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smaller symbol duration and potentially lower latency,</w:t>
      </w:r>
    </w:p>
    <w:p w14:paraId="3E733247"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smaller channel access overhead due to finer-granularity frame design, and</w:t>
      </w:r>
    </w:p>
    <w:p w14:paraId="645CB245" w14:textId="77777777" w:rsidR="009422A9" w:rsidRPr="009422A9" w:rsidRDefault="009422A9" w:rsidP="009422A9">
      <w:pPr>
        <w:pStyle w:val="ListParagraph"/>
        <w:numPr>
          <w:ilvl w:val="0"/>
          <w:numId w:val="25"/>
        </w:numPr>
        <w:jc w:val="both"/>
        <w:rPr>
          <w:b/>
          <w:sz w:val="20"/>
          <w:lang w:val="en-US" w:eastAsia="x-none"/>
        </w:rPr>
      </w:pPr>
      <w:r w:rsidRPr="009422A9">
        <w:rPr>
          <w:sz w:val="20"/>
          <w:lang w:val="en-US" w:eastAsia="x-none"/>
        </w:rPr>
        <w:t>reduced CP length.</w:t>
      </w:r>
    </w:p>
    <w:p w14:paraId="19E72593" w14:textId="60CD01AE" w:rsidR="00AB6F48" w:rsidRDefault="00AB6F48" w:rsidP="00EF58AE">
      <w:pPr>
        <w:spacing w:after="0"/>
        <w:jc w:val="both"/>
        <w:rPr>
          <w:lang w:val="en-US" w:eastAsia="x-none"/>
        </w:rPr>
      </w:pPr>
    </w:p>
    <w:p w14:paraId="5D235A4E" w14:textId="77777777" w:rsidR="00AB6F48" w:rsidRPr="00301E98" w:rsidRDefault="00AB6F48" w:rsidP="00AB6F48">
      <w:pPr>
        <w:pStyle w:val="TH"/>
      </w:pPr>
      <w:r>
        <w:lastRenderedPageBreak/>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B6F48" w14:paraId="0A58E814" w14:textId="77777777" w:rsidTr="009F2A71">
        <w:trPr>
          <w:jc w:val="center"/>
        </w:trPr>
        <w:tc>
          <w:tcPr>
            <w:tcW w:w="1129" w:type="dxa"/>
            <w:shd w:val="clear" w:color="auto" w:fill="auto"/>
            <w:vAlign w:val="center"/>
          </w:tcPr>
          <w:p w14:paraId="304C44DE" w14:textId="77777777" w:rsidR="00AB6F48" w:rsidRPr="00DC5129" w:rsidRDefault="00AB6F48" w:rsidP="009F2A71">
            <w:pPr>
              <w:pStyle w:val="TAH"/>
              <w:rPr>
                <w:rFonts w:eastAsia="Batang"/>
              </w:rPr>
            </w:pPr>
            <w:r w:rsidRPr="00F04CCA">
              <w:rPr>
                <w:rFonts w:eastAsia="Batang"/>
                <w:position w:val="-10"/>
              </w:rPr>
              <w:object w:dxaOrig="220" w:dyaOrig="240" w14:anchorId="6B77D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3.75pt" o:ole="">
                  <v:imagedata r:id="rId13" o:title=""/>
                </v:shape>
                <o:OLEObject Type="Embed" ProgID="Equation.3" ShapeID="_x0000_i1025" DrawAspect="Content" ObjectID="_1587546321" r:id="rId14"/>
              </w:object>
            </w:r>
          </w:p>
        </w:tc>
        <w:tc>
          <w:tcPr>
            <w:tcW w:w="1843" w:type="dxa"/>
            <w:shd w:val="clear" w:color="auto" w:fill="auto"/>
            <w:vAlign w:val="center"/>
          </w:tcPr>
          <w:p w14:paraId="78FACD04" w14:textId="77777777" w:rsidR="00AB6F48" w:rsidRPr="00DC5129" w:rsidRDefault="00AB6F48" w:rsidP="009F2A71">
            <w:pPr>
              <w:pStyle w:val="TAH"/>
              <w:rPr>
                <w:rFonts w:eastAsia="Batang"/>
              </w:rPr>
            </w:pPr>
            <w:r w:rsidRPr="00DC5129">
              <w:rPr>
                <w:rFonts w:eastAsia="Batang"/>
                <w:position w:val="-10"/>
              </w:rPr>
              <w:object w:dxaOrig="1500" w:dyaOrig="340" w14:anchorId="6EB97DFE">
                <v:shape id="_x0000_i1026" type="#_x0000_t75" style="width:75.15pt;height:18.15pt" o:ole="">
                  <v:imagedata r:id="rId15" o:title=""/>
                </v:shape>
                <o:OLEObject Type="Embed" ProgID="Equation.3" ShapeID="_x0000_i1026" DrawAspect="Content" ObjectID="_1587546322" r:id="rId16"/>
              </w:object>
            </w:r>
          </w:p>
        </w:tc>
        <w:tc>
          <w:tcPr>
            <w:tcW w:w="1843" w:type="dxa"/>
            <w:vAlign w:val="center"/>
          </w:tcPr>
          <w:p w14:paraId="48980086" w14:textId="77777777" w:rsidR="00AB6F48" w:rsidRPr="00DC5129" w:rsidRDefault="00AB6F48" w:rsidP="009F2A71">
            <w:pPr>
              <w:pStyle w:val="TAH"/>
              <w:rPr>
                <w:rFonts w:eastAsia="Batang"/>
              </w:rPr>
            </w:pPr>
            <w:r>
              <w:rPr>
                <w:rFonts w:eastAsia="Batang"/>
              </w:rPr>
              <w:t>Cyclic prefix</w:t>
            </w:r>
          </w:p>
        </w:tc>
      </w:tr>
      <w:tr w:rsidR="00AB6F48" w14:paraId="2BFE328C" w14:textId="77777777" w:rsidTr="009F2A71">
        <w:trPr>
          <w:jc w:val="center"/>
        </w:trPr>
        <w:tc>
          <w:tcPr>
            <w:tcW w:w="1129" w:type="dxa"/>
            <w:shd w:val="clear" w:color="auto" w:fill="auto"/>
          </w:tcPr>
          <w:p w14:paraId="0FCC011D" w14:textId="77777777" w:rsidR="00AB6F48" w:rsidRPr="00DC5129" w:rsidRDefault="00AB6F48" w:rsidP="009F2A71">
            <w:pPr>
              <w:pStyle w:val="TAC"/>
              <w:rPr>
                <w:rFonts w:eastAsia="Batang"/>
              </w:rPr>
            </w:pPr>
            <w:r w:rsidRPr="00DC5129">
              <w:rPr>
                <w:rFonts w:eastAsia="Batang"/>
              </w:rPr>
              <w:t>0</w:t>
            </w:r>
          </w:p>
        </w:tc>
        <w:tc>
          <w:tcPr>
            <w:tcW w:w="1843" w:type="dxa"/>
            <w:shd w:val="clear" w:color="auto" w:fill="auto"/>
          </w:tcPr>
          <w:p w14:paraId="205371B4" w14:textId="77777777" w:rsidR="00AB6F48" w:rsidRPr="00DC5129" w:rsidRDefault="00AB6F48" w:rsidP="009F2A71">
            <w:pPr>
              <w:pStyle w:val="TAC"/>
              <w:rPr>
                <w:rFonts w:eastAsia="Batang"/>
              </w:rPr>
            </w:pPr>
            <w:r w:rsidRPr="00DC5129">
              <w:rPr>
                <w:rFonts w:eastAsia="Batang"/>
              </w:rPr>
              <w:t>15</w:t>
            </w:r>
          </w:p>
        </w:tc>
        <w:tc>
          <w:tcPr>
            <w:tcW w:w="1843" w:type="dxa"/>
          </w:tcPr>
          <w:p w14:paraId="3C3DDAC3" w14:textId="77777777" w:rsidR="00AB6F48" w:rsidRPr="00DC5129" w:rsidRDefault="00AB6F48" w:rsidP="009F2A71">
            <w:pPr>
              <w:pStyle w:val="TAC"/>
              <w:jc w:val="left"/>
              <w:rPr>
                <w:rFonts w:eastAsia="Batang"/>
              </w:rPr>
            </w:pPr>
            <w:r>
              <w:rPr>
                <w:rFonts w:eastAsia="Batang"/>
              </w:rPr>
              <w:t>Normal</w:t>
            </w:r>
          </w:p>
        </w:tc>
      </w:tr>
      <w:tr w:rsidR="00AB6F48" w14:paraId="5140CB9B" w14:textId="77777777" w:rsidTr="009F2A71">
        <w:trPr>
          <w:jc w:val="center"/>
        </w:trPr>
        <w:tc>
          <w:tcPr>
            <w:tcW w:w="1129" w:type="dxa"/>
            <w:shd w:val="clear" w:color="auto" w:fill="auto"/>
          </w:tcPr>
          <w:p w14:paraId="51E5F82E" w14:textId="77777777" w:rsidR="00AB6F48" w:rsidRPr="00DC5129" w:rsidRDefault="00AB6F48" w:rsidP="009F2A71">
            <w:pPr>
              <w:pStyle w:val="TAC"/>
              <w:rPr>
                <w:rFonts w:eastAsia="Batang"/>
              </w:rPr>
            </w:pPr>
            <w:r w:rsidRPr="00DC5129">
              <w:rPr>
                <w:rFonts w:eastAsia="Batang"/>
              </w:rPr>
              <w:t>1</w:t>
            </w:r>
          </w:p>
        </w:tc>
        <w:tc>
          <w:tcPr>
            <w:tcW w:w="1843" w:type="dxa"/>
            <w:shd w:val="clear" w:color="auto" w:fill="auto"/>
          </w:tcPr>
          <w:p w14:paraId="7E6ED5F2" w14:textId="77777777" w:rsidR="00AB6F48" w:rsidRPr="00DC5129" w:rsidRDefault="00AB6F48" w:rsidP="009F2A71">
            <w:pPr>
              <w:pStyle w:val="TAC"/>
              <w:rPr>
                <w:rFonts w:eastAsia="Batang"/>
              </w:rPr>
            </w:pPr>
            <w:r w:rsidRPr="00DC5129">
              <w:rPr>
                <w:rFonts w:eastAsia="Batang"/>
              </w:rPr>
              <w:t>30</w:t>
            </w:r>
          </w:p>
        </w:tc>
        <w:tc>
          <w:tcPr>
            <w:tcW w:w="1843" w:type="dxa"/>
          </w:tcPr>
          <w:p w14:paraId="7D12B1ED" w14:textId="77777777" w:rsidR="00AB6F48" w:rsidRPr="00DC5129" w:rsidRDefault="00AB6F48" w:rsidP="009F2A71">
            <w:pPr>
              <w:pStyle w:val="TAC"/>
              <w:jc w:val="left"/>
              <w:rPr>
                <w:rFonts w:eastAsia="Batang"/>
              </w:rPr>
            </w:pPr>
            <w:r>
              <w:rPr>
                <w:rFonts w:eastAsia="Batang"/>
              </w:rPr>
              <w:t>Normal</w:t>
            </w:r>
          </w:p>
        </w:tc>
      </w:tr>
      <w:tr w:rsidR="00AB6F48" w14:paraId="1E2189B9" w14:textId="77777777" w:rsidTr="009F2A71">
        <w:trPr>
          <w:jc w:val="center"/>
        </w:trPr>
        <w:tc>
          <w:tcPr>
            <w:tcW w:w="1129" w:type="dxa"/>
            <w:shd w:val="clear" w:color="auto" w:fill="auto"/>
          </w:tcPr>
          <w:p w14:paraId="3DCFD28C" w14:textId="77777777" w:rsidR="00AB6F48" w:rsidRPr="00DC5129" w:rsidRDefault="00AB6F48" w:rsidP="009F2A71">
            <w:pPr>
              <w:pStyle w:val="TAC"/>
              <w:rPr>
                <w:rFonts w:eastAsia="Batang"/>
              </w:rPr>
            </w:pPr>
            <w:r w:rsidRPr="00DC5129">
              <w:rPr>
                <w:rFonts w:eastAsia="Batang"/>
              </w:rPr>
              <w:t>2</w:t>
            </w:r>
          </w:p>
        </w:tc>
        <w:tc>
          <w:tcPr>
            <w:tcW w:w="1843" w:type="dxa"/>
            <w:shd w:val="clear" w:color="auto" w:fill="auto"/>
          </w:tcPr>
          <w:p w14:paraId="68CD2B82" w14:textId="77777777" w:rsidR="00AB6F48" w:rsidRPr="00DC5129" w:rsidRDefault="00AB6F48" w:rsidP="009F2A71">
            <w:pPr>
              <w:pStyle w:val="TAC"/>
              <w:rPr>
                <w:rFonts w:eastAsia="Batang"/>
              </w:rPr>
            </w:pPr>
            <w:r w:rsidRPr="00DC5129">
              <w:rPr>
                <w:rFonts w:eastAsia="Batang"/>
              </w:rPr>
              <w:t>60</w:t>
            </w:r>
          </w:p>
        </w:tc>
        <w:tc>
          <w:tcPr>
            <w:tcW w:w="1843" w:type="dxa"/>
          </w:tcPr>
          <w:p w14:paraId="220B1496" w14:textId="77777777" w:rsidR="00AB6F48" w:rsidRPr="00DC5129" w:rsidRDefault="00AB6F48" w:rsidP="009F2A71">
            <w:pPr>
              <w:pStyle w:val="TAC"/>
              <w:jc w:val="left"/>
              <w:rPr>
                <w:rFonts w:eastAsia="Batang"/>
              </w:rPr>
            </w:pPr>
            <w:r>
              <w:rPr>
                <w:rFonts w:eastAsia="Batang"/>
              </w:rPr>
              <w:t>Normal, Extended</w:t>
            </w:r>
          </w:p>
        </w:tc>
      </w:tr>
      <w:tr w:rsidR="00AB6F48" w14:paraId="5EA7D223" w14:textId="77777777" w:rsidTr="009F2A71">
        <w:trPr>
          <w:jc w:val="center"/>
        </w:trPr>
        <w:tc>
          <w:tcPr>
            <w:tcW w:w="1129" w:type="dxa"/>
            <w:shd w:val="clear" w:color="auto" w:fill="auto"/>
          </w:tcPr>
          <w:p w14:paraId="07AD3FC6" w14:textId="77777777" w:rsidR="00AB6F48" w:rsidRPr="00DC5129" w:rsidRDefault="00AB6F48" w:rsidP="009F2A71">
            <w:pPr>
              <w:pStyle w:val="TAC"/>
              <w:rPr>
                <w:rFonts w:eastAsia="Batang"/>
              </w:rPr>
            </w:pPr>
            <w:r w:rsidRPr="00DC5129">
              <w:rPr>
                <w:rFonts w:eastAsia="Batang"/>
              </w:rPr>
              <w:t>3</w:t>
            </w:r>
          </w:p>
        </w:tc>
        <w:tc>
          <w:tcPr>
            <w:tcW w:w="1843" w:type="dxa"/>
            <w:shd w:val="clear" w:color="auto" w:fill="auto"/>
          </w:tcPr>
          <w:p w14:paraId="1C743FEF" w14:textId="77777777" w:rsidR="00AB6F48" w:rsidRPr="00DC5129" w:rsidRDefault="00AB6F48" w:rsidP="009F2A71">
            <w:pPr>
              <w:pStyle w:val="TAC"/>
              <w:rPr>
                <w:rFonts w:eastAsia="Batang"/>
              </w:rPr>
            </w:pPr>
            <w:r w:rsidRPr="00DC5129">
              <w:rPr>
                <w:rFonts w:eastAsia="Batang"/>
              </w:rPr>
              <w:t>120</w:t>
            </w:r>
          </w:p>
        </w:tc>
        <w:tc>
          <w:tcPr>
            <w:tcW w:w="1843" w:type="dxa"/>
          </w:tcPr>
          <w:p w14:paraId="32C585B9" w14:textId="77777777" w:rsidR="00AB6F48" w:rsidRPr="00DC5129" w:rsidRDefault="00AB6F48" w:rsidP="009F2A71">
            <w:pPr>
              <w:pStyle w:val="TAC"/>
              <w:jc w:val="left"/>
              <w:rPr>
                <w:rFonts w:eastAsia="Batang"/>
              </w:rPr>
            </w:pPr>
            <w:r>
              <w:rPr>
                <w:rFonts w:eastAsia="Batang"/>
              </w:rPr>
              <w:t>Normal</w:t>
            </w:r>
          </w:p>
        </w:tc>
      </w:tr>
      <w:tr w:rsidR="00AB6F48" w14:paraId="6B7D3F4D" w14:textId="77777777" w:rsidTr="009F2A71">
        <w:trPr>
          <w:jc w:val="center"/>
        </w:trPr>
        <w:tc>
          <w:tcPr>
            <w:tcW w:w="1129" w:type="dxa"/>
            <w:shd w:val="clear" w:color="auto" w:fill="auto"/>
          </w:tcPr>
          <w:p w14:paraId="673570F0" w14:textId="77777777" w:rsidR="00AB6F48" w:rsidRPr="00DC5129" w:rsidRDefault="00AB6F48" w:rsidP="009F2A71">
            <w:pPr>
              <w:pStyle w:val="TAC"/>
              <w:rPr>
                <w:rFonts w:eastAsia="Batang"/>
              </w:rPr>
            </w:pPr>
            <w:r w:rsidRPr="00DC5129">
              <w:rPr>
                <w:rFonts w:eastAsia="Batang"/>
              </w:rPr>
              <w:t>4</w:t>
            </w:r>
          </w:p>
        </w:tc>
        <w:tc>
          <w:tcPr>
            <w:tcW w:w="1843" w:type="dxa"/>
            <w:shd w:val="clear" w:color="auto" w:fill="auto"/>
          </w:tcPr>
          <w:p w14:paraId="083A9A6E" w14:textId="77777777" w:rsidR="00AB6F48" w:rsidRPr="00DC5129" w:rsidRDefault="00AB6F48" w:rsidP="009F2A71">
            <w:pPr>
              <w:pStyle w:val="TAC"/>
              <w:rPr>
                <w:rFonts w:eastAsia="Batang"/>
              </w:rPr>
            </w:pPr>
            <w:r w:rsidRPr="00DC5129">
              <w:rPr>
                <w:rFonts w:eastAsia="Batang"/>
              </w:rPr>
              <w:t>240</w:t>
            </w:r>
          </w:p>
        </w:tc>
        <w:tc>
          <w:tcPr>
            <w:tcW w:w="1843" w:type="dxa"/>
          </w:tcPr>
          <w:p w14:paraId="4B432F5F" w14:textId="77777777" w:rsidR="00AB6F48" w:rsidRPr="00DC5129" w:rsidRDefault="00AB6F48" w:rsidP="009F2A71">
            <w:pPr>
              <w:pStyle w:val="TAC"/>
              <w:jc w:val="left"/>
              <w:rPr>
                <w:rFonts w:eastAsia="Batang"/>
              </w:rPr>
            </w:pPr>
            <w:r>
              <w:rPr>
                <w:rFonts w:eastAsia="Batang"/>
              </w:rPr>
              <w:t>Normal</w:t>
            </w:r>
          </w:p>
        </w:tc>
      </w:tr>
    </w:tbl>
    <w:p w14:paraId="5A5E372E" w14:textId="77777777" w:rsidR="00AB6F48" w:rsidRDefault="00AB6F48" w:rsidP="00EF58AE">
      <w:pPr>
        <w:spacing w:after="0"/>
        <w:jc w:val="both"/>
        <w:rPr>
          <w:lang w:val="en-US" w:eastAsia="x-none"/>
        </w:rPr>
      </w:pPr>
    </w:p>
    <w:p w14:paraId="4E45D6C1" w14:textId="684C7D82" w:rsidR="009422A9" w:rsidRDefault="009422A9" w:rsidP="009422A9">
      <w:pPr>
        <w:spacing w:after="0"/>
        <w:jc w:val="both"/>
        <w:rPr>
          <w:lang w:val="en-US" w:eastAsia="x-none"/>
        </w:rPr>
      </w:pPr>
    </w:p>
    <w:p w14:paraId="0719A0B8" w14:textId="43E757E8" w:rsidR="009422A9" w:rsidRDefault="00CC36D2" w:rsidP="009422A9">
      <w:pPr>
        <w:spacing w:after="0"/>
        <w:jc w:val="both"/>
        <w:rPr>
          <w:lang w:val="en-US" w:eastAsia="x-none"/>
        </w:rPr>
      </w:pPr>
      <w:r>
        <w:rPr>
          <w:lang w:val="en-US" w:eastAsia="x-none"/>
        </w:rPr>
        <w:t>T</w:t>
      </w:r>
      <w:r w:rsidR="009422A9">
        <w:rPr>
          <w:lang w:val="en-US" w:eastAsia="x-none"/>
        </w:rPr>
        <w:t>o maximize commonality between NR licensed and unlicensed band implementations it makes sense to have a common numerology set defined for licensed band operation also for NR unlicensed band scenarios.</w:t>
      </w:r>
    </w:p>
    <w:p w14:paraId="4575BCC3" w14:textId="44F1EF96" w:rsidR="00657C5F" w:rsidRPr="009422A9" w:rsidRDefault="00C43807" w:rsidP="009422A9">
      <w:pPr>
        <w:pStyle w:val="ListParagraph"/>
        <w:numPr>
          <w:ilvl w:val="0"/>
          <w:numId w:val="24"/>
        </w:numPr>
        <w:jc w:val="both"/>
        <w:rPr>
          <w:sz w:val="20"/>
          <w:lang w:val="en-US" w:eastAsia="x-none"/>
        </w:rPr>
      </w:pPr>
      <w:r w:rsidRPr="009422A9">
        <w:rPr>
          <w:sz w:val="20"/>
          <w:lang w:val="en-US" w:eastAsia="x-none"/>
        </w:rPr>
        <w:t xml:space="preserve">Below </w:t>
      </w:r>
      <w:r w:rsidR="00DF6773">
        <w:rPr>
          <w:sz w:val="20"/>
          <w:lang w:val="en-US" w:eastAsia="x-none"/>
        </w:rPr>
        <w:t>7</w:t>
      </w:r>
      <w:r w:rsidRPr="009422A9">
        <w:rPr>
          <w:sz w:val="20"/>
          <w:lang w:val="en-US" w:eastAsia="x-none"/>
        </w:rPr>
        <w:t xml:space="preserve"> GHz: [15, </w:t>
      </w:r>
      <w:r w:rsidRPr="00BC4958">
        <w:rPr>
          <w:b/>
          <w:bCs/>
          <w:sz w:val="20"/>
          <w:u w:val="single"/>
          <w:lang w:val="en-US" w:eastAsia="x-none"/>
        </w:rPr>
        <w:t>30, 60</w:t>
      </w:r>
      <w:r w:rsidR="00AD61F5">
        <w:rPr>
          <w:sz w:val="20"/>
          <w:lang w:val="en-US" w:eastAsia="x-none"/>
        </w:rPr>
        <w:t xml:space="preserve">] kHz </w:t>
      </w:r>
      <w:r w:rsidRPr="009422A9">
        <w:rPr>
          <w:sz w:val="20"/>
          <w:lang w:val="en-US" w:eastAsia="x-none"/>
        </w:rPr>
        <w:t xml:space="preserve"> </w:t>
      </w:r>
    </w:p>
    <w:p w14:paraId="1889E64F" w14:textId="10811BB8" w:rsidR="009422A9" w:rsidRPr="009422A9" w:rsidRDefault="009422A9" w:rsidP="009422A9">
      <w:pPr>
        <w:pStyle w:val="ListParagraph"/>
        <w:numPr>
          <w:ilvl w:val="0"/>
          <w:numId w:val="24"/>
        </w:numPr>
        <w:jc w:val="both"/>
        <w:rPr>
          <w:sz w:val="20"/>
          <w:lang w:eastAsia="x-none"/>
        </w:rPr>
      </w:pPr>
      <w:r>
        <w:rPr>
          <w:sz w:val="20"/>
          <w:lang w:val="en-US" w:eastAsia="x-none"/>
        </w:rPr>
        <w:t xml:space="preserve">Above </w:t>
      </w:r>
      <w:r w:rsidR="00DF6773">
        <w:rPr>
          <w:sz w:val="20"/>
          <w:lang w:val="en-US" w:eastAsia="x-none"/>
        </w:rPr>
        <w:t>7</w:t>
      </w:r>
      <w:r>
        <w:rPr>
          <w:sz w:val="20"/>
          <w:lang w:val="en-US" w:eastAsia="x-none"/>
        </w:rPr>
        <w:t xml:space="preserve"> GHz: [60, 120, 240</w:t>
      </w:r>
      <w:r w:rsidR="00C43807" w:rsidRPr="009422A9">
        <w:rPr>
          <w:sz w:val="20"/>
          <w:lang w:val="en-US" w:eastAsia="x-none"/>
        </w:rPr>
        <w:t>] kHz</w:t>
      </w:r>
    </w:p>
    <w:p w14:paraId="151EBCC8" w14:textId="3D31BF00" w:rsidR="00657C5F" w:rsidRDefault="00AD61F5" w:rsidP="006960DC">
      <w:pPr>
        <w:spacing w:after="0"/>
        <w:jc w:val="both"/>
        <w:rPr>
          <w:lang w:val="en-US" w:eastAsia="x-none"/>
        </w:rPr>
      </w:pPr>
      <w:r>
        <w:rPr>
          <w:lang w:val="en-US" w:eastAsia="x-none"/>
        </w:rPr>
        <w:t>It is noted that</w:t>
      </w:r>
      <w:r w:rsidR="00367DA6">
        <w:rPr>
          <w:lang w:val="en-US" w:eastAsia="x-none"/>
        </w:rPr>
        <w:t xml:space="preserve"> 15</w:t>
      </w:r>
      <w:r>
        <w:rPr>
          <w:lang w:val="en-US" w:eastAsia="x-none"/>
        </w:rPr>
        <w:t xml:space="preserve"> </w:t>
      </w:r>
      <w:r w:rsidRPr="009422A9">
        <w:rPr>
          <w:lang w:val="en-US" w:eastAsia="x-none"/>
        </w:rPr>
        <w:t xml:space="preserve">kHz </w:t>
      </w:r>
      <w:r w:rsidR="007B056C">
        <w:rPr>
          <w:lang w:val="en-US" w:eastAsia="x-none"/>
        </w:rPr>
        <w:t xml:space="preserve">subcarrier spacing </w:t>
      </w:r>
      <w:r w:rsidRPr="009422A9">
        <w:rPr>
          <w:lang w:val="en-US" w:eastAsia="x-none"/>
        </w:rPr>
        <w:t xml:space="preserve">does not seem well suited </w:t>
      </w:r>
      <w:r>
        <w:rPr>
          <w:lang w:val="en-US" w:eastAsia="x-none"/>
        </w:rPr>
        <w:t>for NR unlicensed band operation</w:t>
      </w:r>
      <w:r w:rsidR="00D112E1">
        <w:rPr>
          <w:lang w:val="en-US" w:eastAsia="x-none"/>
        </w:rPr>
        <w:t>, since the resulting symbol duration becomes relatively long</w:t>
      </w:r>
      <w:r>
        <w:rPr>
          <w:lang w:val="en-US" w:eastAsia="x-none"/>
        </w:rPr>
        <w:t xml:space="preserve">. </w:t>
      </w:r>
      <w:r w:rsidR="00C43807" w:rsidRPr="009422A9">
        <w:rPr>
          <w:lang w:val="en-US" w:eastAsia="x-none"/>
        </w:rPr>
        <w:t>Subcarrier spacing larger than 240 kHz should be considered for 60 GHz unlicensed band operation</w:t>
      </w:r>
      <w:r w:rsidR="009422A9">
        <w:rPr>
          <w:lang w:val="en-US" w:eastAsia="x-none"/>
        </w:rPr>
        <w:t>.</w:t>
      </w:r>
      <w:r w:rsidR="00367DA6">
        <w:rPr>
          <w:lang w:val="en-US" w:eastAsia="x-none"/>
        </w:rPr>
        <w:t xml:space="preserve"> </w:t>
      </w:r>
      <w:r w:rsidR="00096724">
        <w:rPr>
          <w:lang w:val="en-US" w:eastAsia="x-none"/>
        </w:rPr>
        <w:t xml:space="preserve">This would ensure </w:t>
      </w:r>
      <w:r w:rsidR="00BC746D">
        <w:rPr>
          <w:lang w:val="en-US" w:eastAsia="x-none"/>
        </w:rPr>
        <w:t>e.g. large enough bandwidth for a given FFT size.</w:t>
      </w:r>
      <w:r w:rsidR="00AF6FC5" w:rsidRPr="00AF6FC5">
        <w:t xml:space="preserve"> </w:t>
      </w:r>
      <w:r w:rsidR="00AF6FC5">
        <w:rPr>
          <w:lang w:val="en-US" w:eastAsia="x-none"/>
        </w:rPr>
        <w:t>Numerology options</w:t>
      </w:r>
      <w:r w:rsidR="00AF6FC5" w:rsidRPr="00AF6FC5">
        <w:rPr>
          <w:lang w:val="en-US" w:eastAsia="x-none"/>
        </w:rPr>
        <w:t xml:space="preserve"> </w:t>
      </w:r>
      <w:r w:rsidR="00AF6FC5">
        <w:rPr>
          <w:lang w:val="en-US" w:eastAsia="x-none"/>
        </w:rPr>
        <w:t>for 60 GHz unlicensed band scenarios should be considered as part of the &gt;</w:t>
      </w:r>
      <w:r w:rsidR="00AF6FC5" w:rsidRPr="00AF6FC5">
        <w:rPr>
          <w:lang w:val="en-US" w:eastAsia="x-none"/>
        </w:rPr>
        <w:t>52.6 GHz</w:t>
      </w:r>
      <w:r w:rsidR="00AF6FC5">
        <w:rPr>
          <w:lang w:val="en-US" w:eastAsia="x-none"/>
        </w:rPr>
        <w:t xml:space="preserve"> waveform studies</w:t>
      </w:r>
      <w:r w:rsidR="00AF6FC5" w:rsidRPr="00AF6FC5">
        <w:rPr>
          <w:lang w:val="en-US" w:eastAsia="x-none"/>
        </w:rPr>
        <w:t>.</w:t>
      </w:r>
    </w:p>
    <w:p w14:paraId="38792BC2" w14:textId="77777777" w:rsidR="00A64AE7" w:rsidRDefault="00A64AE7" w:rsidP="006960DC">
      <w:pPr>
        <w:spacing w:after="0"/>
        <w:jc w:val="both"/>
        <w:rPr>
          <w:lang w:val="en-US" w:eastAsia="x-none"/>
        </w:rPr>
      </w:pPr>
    </w:p>
    <w:p w14:paraId="5402AAEC" w14:textId="7DE650EB" w:rsidR="00EF58AE" w:rsidRDefault="00A459BA" w:rsidP="00EF58AE">
      <w:pPr>
        <w:spacing w:after="0"/>
        <w:jc w:val="both"/>
        <w:rPr>
          <w:i/>
          <w:lang w:val="en-US" w:eastAsia="x-none"/>
        </w:rPr>
      </w:pPr>
      <w:r w:rsidRPr="00953AB0">
        <w:rPr>
          <w:b/>
          <w:i/>
          <w:lang w:val="en-US" w:eastAsia="x-none"/>
        </w:rPr>
        <w:t xml:space="preserve">Proposal 1: </w:t>
      </w:r>
      <w:r w:rsidR="00EF58AE">
        <w:rPr>
          <w:i/>
          <w:lang w:val="en-US" w:eastAsia="x-none"/>
        </w:rPr>
        <w:t>Adopt the existing</w:t>
      </w:r>
      <w:r w:rsidR="00EF58AE" w:rsidRPr="00EF58AE">
        <w:rPr>
          <w:i/>
          <w:lang w:val="en-US" w:eastAsia="x-none"/>
        </w:rPr>
        <w:t xml:space="preserve"> NR numerology set for NR unlicensed operation </w:t>
      </w:r>
    </w:p>
    <w:p w14:paraId="517B1189" w14:textId="682C7F53" w:rsidR="00A459BA" w:rsidRPr="00EF58AE" w:rsidRDefault="00EF58AE" w:rsidP="00EF58AE">
      <w:pPr>
        <w:pStyle w:val="ListParagraph"/>
        <w:numPr>
          <w:ilvl w:val="0"/>
          <w:numId w:val="19"/>
        </w:numPr>
        <w:spacing w:after="120"/>
        <w:jc w:val="both"/>
        <w:rPr>
          <w:b/>
          <w:i/>
          <w:sz w:val="20"/>
          <w:lang w:val="en-US" w:eastAsia="x-none"/>
        </w:rPr>
      </w:pPr>
      <w:r w:rsidRPr="00EF58AE">
        <w:rPr>
          <w:i/>
          <w:sz w:val="20"/>
          <w:lang w:val="en-US" w:eastAsia="x-none"/>
        </w:rPr>
        <w:t>For 60 GHz a larger subcarrier spacing may be needed</w:t>
      </w:r>
    </w:p>
    <w:p w14:paraId="7A59DDA3" w14:textId="624E6D27" w:rsidR="00E13F64" w:rsidRDefault="00E13F64" w:rsidP="00EF58AE">
      <w:pPr>
        <w:spacing w:after="120"/>
        <w:jc w:val="both"/>
        <w:rPr>
          <w:i/>
          <w:highlight w:val="yellow"/>
          <w:lang w:val="en-US" w:eastAsia="x-none"/>
        </w:rPr>
      </w:pPr>
    </w:p>
    <w:p w14:paraId="4789A66A" w14:textId="4274E428" w:rsidR="00E13F64" w:rsidRDefault="00DF6773" w:rsidP="00B23414">
      <w:pPr>
        <w:spacing w:after="120"/>
        <w:jc w:val="both"/>
        <w:rPr>
          <w:lang w:val="en-US" w:eastAsia="x-none"/>
        </w:rPr>
      </w:pPr>
      <w:r>
        <w:rPr>
          <w:lang w:val="en-US" w:eastAsia="x-none"/>
        </w:rPr>
        <w:t xml:space="preserve">One of the open issues related to NR-U numerologies below 7 GHz is the need for use of ECP for 60 kHz subcarrier spacing. </w:t>
      </w:r>
      <w:r w:rsidR="003F5C78">
        <w:rPr>
          <w:lang w:val="en-US" w:eastAsia="x-none"/>
        </w:rPr>
        <w:t>Table 1 below shows the CP length for considered NR-U scenarios below 7 GHz.</w:t>
      </w:r>
      <w:r w:rsidR="008C4D5E">
        <w:rPr>
          <w:lang w:val="en-US" w:eastAsia="x-none"/>
        </w:rPr>
        <w:t xml:space="preserve"> </w:t>
      </w:r>
    </w:p>
    <w:p w14:paraId="2F562AA3" w14:textId="77777777" w:rsidR="003F5C78" w:rsidRDefault="003F5C78">
      <w:pPr>
        <w:spacing w:after="120"/>
        <w:jc w:val="both"/>
        <w:rPr>
          <w:lang w:val="en-US" w:eastAsia="x-none"/>
        </w:rPr>
      </w:pPr>
    </w:p>
    <w:p w14:paraId="5DF419E4" w14:textId="3D9ECEF0" w:rsidR="003F5C78" w:rsidRPr="00301E98" w:rsidRDefault="003F5C78" w:rsidP="003F5C78">
      <w:pPr>
        <w:pStyle w:val="TH"/>
      </w:pPr>
      <w:r>
        <w:t>Table 1: CP length with different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F5C78" w:rsidRPr="00DC5129" w14:paraId="4F0B9DF6" w14:textId="77777777" w:rsidTr="001E2EFA">
        <w:trPr>
          <w:jc w:val="center"/>
        </w:trPr>
        <w:tc>
          <w:tcPr>
            <w:tcW w:w="1129" w:type="dxa"/>
            <w:shd w:val="clear" w:color="auto" w:fill="auto"/>
            <w:vAlign w:val="center"/>
          </w:tcPr>
          <w:p w14:paraId="61B0451B" w14:textId="77777777" w:rsidR="003F5C78" w:rsidRPr="00DC5129" w:rsidRDefault="003F5C78" w:rsidP="001E2EFA">
            <w:pPr>
              <w:pStyle w:val="TAH"/>
              <w:rPr>
                <w:rFonts w:eastAsia="Batang"/>
              </w:rPr>
            </w:pPr>
            <w:r w:rsidRPr="00F04CCA">
              <w:rPr>
                <w:rFonts w:eastAsia="Batang"/>
                <w:position w:val="-10"/>
              </w:rPr>
              <w:object w:dxaOrig="220" w:dyaOrig="240" w14:anchorId="129FA4A6">
                <v:shape id="_x0000_i1027" type="#_x0000_t75" style="width:10.65pt;height:13.15pt" o:ole="">
                  <v:imagedata r:id="rId13" o:title=""/>
                </v:shape>
                <o:OLEObject Type="Embed" ProgID="Equation.3" ShapeID="_x0000_i1027" DrawAspect="Content" ObjectID="_1587546323" r:id="rId17"/>
              </w:object>
            </w:r>
          </w:p>
        </w:tc>
        <w:tc>
          <w:tcPr>
            <w:tcW w:w="1843" w:type="dxa"/>
            <w:shd w:val="clear" w:color="auto" w:fill="auto"/>
            <w:vAlign w:val="center"/>
          </w:tcPr>
          <w:p w14:paraId="4257FA3F" w14:textId="77777777" w:rsidR="003F5C78" w:rsidRPr="00DC5129" w:rsidRDefault="003F5C78" w:rsidP="001E2EFA">
            <w:pPr>
              <w:pStyle w:val="TAH"/>
              <w:rPr>
                <w:rFonts w:eastAsia="Batang"/>
              </w:rPr>
            </w:pPr>
            <w:r w:rsidRPr="00DC5129">
              <w:rPr>
                <w:rFonts w:eastAsia="Batang"/>
                <w:position w:val="-10"/>
              </w:rPr>
              <w:object w:dxaOrig="1500" w:dyaOrig="340" w14:anchorId="117C1EA4">
                <v:shape id="_x0000_i1028" type="#_x0000_t75" style="width:75.15pt;height:18.15pt" o:ole="">
                  <v:imagedata r:id="rId15" o:title=""/>
                </v:shape>
                <o:OLEObject Type="Embed" ProgID="Equation.3" ShapeID="_x0000_i1028" DrawAspect="Content" ObjectID="_1587546324" r:id="rId18"/>
              </w:object>
            </w:r>
          </w:p>
        </w:tc>
        <w:tc>
          <w:tcPr>
            <w:tcW w:w="1843" w:type="dxa"/>
            <w:vAlign w:val="center"/>
          </w:tcPr>
          <w:p w14:paraId="442809C5" w14:textId="47B1B055" w:rsidR="003F5C78" w:rsidRPr="00DC5129" w:rsidRDefault="003F5C78" w:rsidP="001E2EFA">
            <w:pPr>
              <w:pStyle w:val="TAH"/>
              <w:rPr>
                <w:rFonts w:eastAsia="Batang"/>
              </w:rPr>
            </w:pPr>
            <w:r>
              <w:rPr>
                <w:rFonts w:eastAsia="Batang"/>
              </w:rPr>
              <w:t>CP length (us)</w:t>
            </w:r>
          </w:p>
        </w:tc>
      </w:tr>
      <w:tr w:rsidR="003F5C78" w:rsidRPr="00DC5129" w14:paraId="1EF305DF" w14:textId="77777777" w:rsidTr="001E2EFA">
        <w:trPr>
          <w:jc w:val="center"/>
        </w:trPr>
        <w:tc>
          <w:tcPr>
            <w:tcW w:w="1129" w:type="dxa"/>
            <w:shd w:val="clear" w:color="auto" w:fill="auto"/>
          </w:tcPr>
          <w:p w14:paraId="0BB7C694" w14:textId="77777777" w:rsidR="003F5C78" w:rsidRPr="00DC5129" w:rsidRDefault="003F5C78" w:rsidP="001E2EFA">
            <w:pPr>
              <w:pStyle w:val="TAC"/>
              <w:rPr>
                <w:rFonts w:eastAsia="Batang"/>
              </w:rPr>
            </w:pPr>
            <w:r w:rsidRPr="00DC5129">
              <w:rPr>
                <w:rFonts w:eastAsia="Batang"/>
              </w:rPr>
              <w:t>0</w:t>
            </w:r>
          </w:p>
        </w:tc>
        <w:tc>
          <w:tcPr>
            <w:tcW w:w="1843" w:type="dxa"/>
            <w:shd w:val="clear" w:color="auto" w:fill="auto"/>
          </w:tcPr>
          <w:p w14:paraId="2449D7EF" w14:textId="77777777" w:rsidR="003F5C78" w:rsidRPr="00DC5129" w:rsidRDefault="003F5C78" w:rsidP="001E2EFA">
            <w:pPr>
              <w:pStyle w:val="TAC"/>
              <w:rPr>
                <w:rFonts w:eastAsia="Batang"/>
              </w:rPr>
            </w:pPr>
            <w:r w:rsidRPr="00DC5129">
              <w:rPr>
                <w:rFonts w:eastAsia="Batang"/>
              </w:rPr>
              <w:t>15</w:t>
            </w:r>
          </w:p>
        </w:tc>
        <w:tc>
          <w:tcPr>
            <w:tcW w:w="1843" w:type="dxa"/>
          </w:tcPr>
          <w:p w14:paraId="3FEDC032" w14:textId="7332294D" w:rsidR="003F5C78" w:rsidRPr="00DC5129" w:rsidRDefault="003F5C78" w:rsidP="001E2EFA">
            <w:pPr>
              <w:pStyle w:val="TAC"/>
              <w:jc w:val="left"/>
              <w:rPr>
                <w:rFonts w:eastAsia="Batang"/>
              </w:rPr>
            </w:pPr>
            <w:r>
              <w:rPr>
                <w:rFonts w:eastAsia="Batang"/>
              </w:rPr>
              <w:t>4.8</w:t>
            </w:r>
          </w:p>
        </w:tc>
      </w:tr>
      <w:tr w:rsidR="003F5C78" w:rsidRPr="00DC5129" w14:paraId="080A9717" w14:textId="77777777" w:rsidTr="001E2EFA">
        <w:trPr>
          <w:jc w:val="center"/>
        </w:trPr>
        <w:tc>
          <w:tcPr>
            <w:tcW w:w="1129" w:type="dxa"/>
            <w:shd w:val="clear" w:color="auto" w:fill="auto"/>
          </w:tcPr>
          <w:p w14:paraId="6C350F54" w14:textId="77777777" w:rsidR="003F5C78" w:rsidRPr="00DC5129" w:rsidRDefault="003F5C78" w:rsidP="001E2EFA">
            <w:pPr>
              <w:pStyle w:val="TAC"/>
              <w:rPr>
                <w:rFonts w:eastAsia="Batang"/>
              </w:rPr>
            </w:pPr>
            <w:r w:rsidRPr="00DC5129">
              <w:rPr>
                <w:rFonts w:eastAsia="Batang"/>
              </w:rPr>
              <w:t>1</w:t>
            </w:r>
          </w:p>
        </w:tc>
        <w:tc>
          <w:tcPr>
            <w:tcW w:w="1843" w:type="dxa"/>
            <w:shd w:val="clear" w:color="auto" w:fill="auto"/>
          </w:tcPr>
          <w:p w14:paraId="4A9A091E" w14:textId="77777777" w:rsidR="003F5C78" w:rsidRPr="00DC5129" w:rsidRDefault="003F5C78" w:rsidP="001E2EFA">
            <w:pPr>
              <w:pStyle w:val="TAC"/>
              <w:rPr>
                <w:rFonts w:eastAsia="Batang"/>
              </w:rPr>
            </w:pPr>
            <w:r w:rsidRPr="00DC5129">
              <w:rPr>
                <w:rFonts w:eastAsia="Batang"/>
              </w:rPr>
              <w:t>30</w:t>
            </w:r>
          </w:p>
        </w:tc>
        <w:tc>
          <w:tcPr>
            <w:tcW w:w="1843" w:type="dxa"/>
          </w:tcPr>
          <w:p w14:paraId="125CAAA1" w14:textId="768246E3" w:rsidR="003F5C78" w:rsidRPr="00DC5129" w:rsidRDefault="003F5C78" w:rsidP="001E2EFA">
            <w:pPr>
              <w:pStyle w:val="TAC"/>
              <w:jc w:val="left"/>
              <w:rPr>
                <w:rFonts w:eastAsia="Batang"/>
              </w:rPr>
            </w:pPr>
            <w:r>
              <w:rPr>
                <w:rFonts w:eastAsia="Batang"/>
              </w:rPr>
              <w:t>2.4</w:t>
            </w:r>
          </w:p>
        </w:tc>
      </w:tr>
      <w:tr w:rsidR="003F5C78" w:rsidRPr="00DC5129" w14:paraId="391BBCE3" w14:textId="77777777" w:rsidTr="001E2EFA">
        <w:trPr>
          <w:jc w:val="center"/>
        </w:trPr>
        <w:tc>
          <w:tcPr>
            <w:tcW w:w="1129" w:type="dxa"/>
            <w:shd w:val="clear" w:color="auto" w:fill="auto"/>
          </w:tcPr>
          <w:p w14:paraId="19531477" w14:textId="77777777" w:rsidR="003F5C78" w:rsidRPr="00DC5129" w:rsidRDefault="003F5C78" w:rsidP="001E2EFA">
            <w:pPr>
              <w:pStyle w:val="TAC"/>
              <w:rPr>
                <w:rFonts w:eastAsia="Batang"/>
              </w:rPr>
            </w:pPr>
            <w:r w:rsidRPr="00DC5129">
              <w:rPr>
                <w:rFonts w:eastAsia="Batang"/>
              </w:rPr>
              <w:t>2</w:t>
            </w:r>
          </w:p>
        </w:tc>
        <w:tc>
          <w:tcPr>
            <w:tcW w:w="1843" w:type="dxa"/>
            <w:shd w:val="clear" w:color="auto" w:fill="auto"/>
          </w:tcPr>
          <w:p w14:paraId="2344DB2B" w14:textId="77777777" w:rsidR="003F5C78" w:rsidRPr="00DC5129" w:rsidRDefault="003F5C78" w:rsidP="001E2EFA">
            <w:pPr>
              <w:pStyle w:val="TAC"/>
              <w:rPr>
                <w:rFonts w:eastAsia="Batang"/>
              </w:rPr>
            </w:pPr>
            <w:r w:rsidRPr="00DC5129">
              <w:rPr>
                <w:rFonts w:eastAsia="Batang"/>
              </w:rPr>
              <w:t>60</w:t>
            </w:r>
          </w:p>
        </w:tc>
        <w:tc>
          <w:tcPr>
            <w:tcW w:w="1843" w:type="dxa"/>
          </w:tcPr>
          <w:p w14:paraId="3546B34A" w14:textId="77777777" w:rsidR="003F5C78" w:rsidRDefault="003F5C78" w:rsidP="001E2EFA">
            <w:pPr>
              <w:pStyle w:val="TAC"/>
              <w:jc w:val="left"/>
              <w:rPr>
                <w:rFonts w:eastAsia="Batang"/>
              </w:rPr>
            </w:pPr>
            <w:r>
              <w:rPr>
                <w:rFonts w:eastAsia="Batang"/>
              </w:rPr>
              <w:t>1.2 (Normal)</w:t>
            </w:r>
          </w:p>
          <w:p w14:paraId="2398D478" w14:textId="2E7AB92E" w:rsidR="003F5C78" w:rsidRPr="00DC5129" w:rsidRDefault="003F5C78" w:rsidP="001E2EFA">
            <w:pPr>
              <w:pStyle w:val="TAC"/>
              <w:jc w:val="left"/>
              <w:rPr>
                <w:rFonts w:eastAsia="Batang"/>
              </w:rPr>
            </w:pPr>
            <w:r>
              <w:rPr>
                <w:rFonts w:eastAsia="Batang"/>
              </w:rPr>
              <w:t>4.2 (Extended)</w:t>
            </w:r>
          </w:p>
        </w:tc>
      </w:tr>
    </w:tbl>
    <w:p w14:paraId="687CB103" w14:textId="7385A398" w:rsidR="003F5C78" w:rsidRDefault="003F5C78" w:rsidP="00B23414">
      <w:pPr>
        <w:spacing w:after="120"/>
        <w:jc w:val="both"/>
        <w:rPr>
          <w:lang w:val="en-US" w:eastAsia="x-none"/>
        </w:rPr>
      </w:pPr>
    </w:p>
    <w:p w14:paraId="5A2D3404" w14:textId="6151E329" w:rsidR="008C4D5E" w:rsidRDefault="008C4D5E" w:rsidP="008C4D5E">
      <w:pPr>
        <w:spacing w:after="0"/>
        <w:jc w:val="both"/>
        <w:rPr>
          <w:lang w:val="en-US" w:eastAsia="x-none"/>
        </w:rPr>
      </w:pPr>
      <w:r>
        <w:rPr>
          <w:lang w:val="en-US" w:eastAsia="x-none"/>
        </w:rPr>
        <w:t>We think that ECP option is not needed for NR-U,</w:t>
      </w:r>
      <w:r w:rsidRPr="00F04CCA">
        <w:rPr>
          <w:rFonts w:eastAsia="Batang"/>
          <w:position w:val="-10"/>
        </w:rPr>
        <w:object w:dxaOrig="220" w:dyaOrig="240" w14:anchorId="5CD6203B">
          <v:shape id="_x0000_i1029" type="#_x0000_t75" style="width:10.65pt;height:13.15pt" o:ole="">
            <v:imagedata r:id="rId13" o:title=""/>
          </v:shape>
          <o:OLEObject Type="Embed" ProgID="Equation.3" ShapeID="_x0000_i1029" DrawAspect="Content" ObjectID="_1587546325" r:id="rId19"/>
        </w:object>
      </w:r>
      <w:r>
        <w:rPr>
          <w:lang w:val="en-US" w:eastAsia="x-none"/>
        </w:rPr>
        <w:t>=2.</w:t>
      </w:r>
      <w:r w:rsidRPr="008C4D5E">
        <w:rPr>
          <w:lang w:val="en-US" w:eastAsia="x-none"/>
        </w:rPr>
        <w:t xml:space="preserve"> </w:t>
      </w:r>
    </w:p>
    <w:p w14:paraId="16ADA3C6" w14:textId="399FEA14" w:rsidR="00A4393E" w:rsidRDefault="00A4393E" w:rsidP="00A4393E">
      <w:pPr>
        <w:pStyle w:val="ListParagraph"/>
        <w:numPr>
          <w:ilvl w:val="0"/>
          <w:numId w:val="24"/>
        </w:numPr>
        <w:jc w:val="both"/>
        <w:rPr>
          <w:sz w:val="20"/>
          <w:lang w:val="en-US" w:eastAsia="x-none"/>
        </w:rPr>
      </w:pPr>
      <w:r>
        <w:rPr>
          <w:sz w:val="20"/>
          <w:lang w:val="en-US" w:eastAsia="x-none"/>
        </w:rPr>
        <w:t>Due to smaller Tx power</w:t>
      </w:r>
      <w:r w:rsidR="00364C6B">
        <w:rPr>
          <w:sz w:val="20"/>
          <w:lang w:val="en-US" w:eastAsia="x-none"/>
        </w:rPr>
        <w:t xml:space="preserve"> (</w:t>
      </w:r>
      <w:r w:rsidR="00364C6B" w:rsidRPr="00364C6B">
        <w:rPr>
          <w:sz w:val="20"/>
          <w:lang w:val="en-US" w:eastAsia="x-none"/>
        </w:rPr>
        <w:sym w:font="Wingdings" w:char="F0E0"/>
      </w:r>
      <w:r w:rsidR="00364C6B">
        <w:rPr>
          <w:sz w:val="20"/>
          <w:lang w:val="en-US" w:eastAsia="x-none"/>
        </w:rPr>
        <w:t xml:space="preserve"> cell size)</w:t>
      </w:r>
      <w:r>
        <w:rPr>
          <w:sz w:val="20"/>
          <w:lang w:val="en-US" w:eastAsia="x-none"/>
        </w:rPr>
        <w:t>, d</w:t>
      </w:r>
      <w:r w:rsidR="008C4D5E">
        <w:rPr>
          <w:sz w:val="20"/>
          <w:lang w:val="en-US" w:eastAsia="x-none"/>
        </w:rPr>
        <w:t xml:space="preserve">elay spread in NR-U scenarios is </w:t>
      </w:r>
      <w:r w:rsidR="00035CD6">
        <w:rPr>
          <w:sz w:val="20"/>
          <w:lang w:val="en-US" w:eastAsia="x-none"/>
        </w:rPr>
        <w:t xml:space="preserve">considerably </w:t>
      </w:r>
      <w:r w:rsidR="008C4D5E">
        <w:rPr>
          <w:sz w:val="20"/>
          <w:lang w:val="en-US" w:eastAsia="x-none"/>
        </w:rPr>
        <w:t xml:space="preserve">smaller compared to that of licensed band </w:t>
      </w:r>
      <w:r>
        <w:rPr>
          <w:sz w:val="20"/>
          <w:lang w:val="en-US" w:eastAsia="x-none"/>
        </w:rPr>
        <w:t>operation.</w:t>
      </w:r>
      <w:r w:rsidRPr="00A4393E">
        <w:rPr>
          <w:sz w:val="20"/>
          <w:lang w:val="en-US" w:eastAsia="x-none"/>
        </w:rPr>
        <w:t xml:space="preserve"> </w:t>
      </w:r>
    </w:p>
    <w:p w14:paraId="7159D21A" w14:textId="386DF9CA" w:rsidR="00A4393E" w:rsidRPr="001E2EFA" w:rsidRDefault="00A4393E" w:rsidP="00A4393E">
      <w:pPr>
        <w:pStyle w:val="ListParagraph"/>
        <w:numPr>
          <w:ilvl w:val="0"/>
          <w:numId w:val="24"/>
        </w:numPr>
        <w:jc w:val="both"/>
        <w:rPr>
          <w:sz w:val="20"/>
          <w:lang w:val="en-US" w:eastAsia="x-none"/>
        </w:rPr>
      </w:pPr>
      <w:r>
        <w:rPr>
          <w:sz w:val="20"/>
          <w:lang w:val="en-US" w:eastAsia="x-none"/>
        </w:rPr>
        <w:t xml:space="preserve">Furthermore, </w:t>
      </w:r>
      <w:r w:rsidRPr="001E2EFA">
        <w:rPr>
          <w:sz w:val="20"/>
          <w:lang w:val="en-US" w:eastAsia="x-none"/>
        </w:rPr>
        <w:t>NR-U can operate with 60 kHz subcarrier spacing even in TDL-C-1000ns channel. SINR floor due to large delay spread starts to affect the achievable SINR at</w:t>
      </w:r>
      <w:r>
        <w:rPr>
          <w:sz w:val="20"/>
          <w:lang w:val="en-US" w:eastAsia="x-none"/>
        </w:rPr>
        <w:t xml:space="preserve"> relatively</w:t>
      </w:r>
      <w:r w:rsidRPr="001E2EFA">
        <w:rPr>
          <w:sz w:val="20"/>
          <w:lang w:val="en-US" w:eastAsia="x-none"/>
        </w:rPr>
        <w:t xml:space="preserve"> high SNR values (SNR &gt;15 dB) [</w:t>
      </w:r>
      <w:r>
        <w:rPr>
          <w:sz w:val="20"/>
          <w:lang w:val="en-US" w:eastAsia="x-none"/>
        </w:rPr>
        <w:t>3</w:t>
      </w:r>
      <w:r w:rsidRPr="001E2EFA">
        <w:rPr>
          <w:sz w:val="20"/>
          <w:lang w:val="en-US" w:eastAsia="x-none"/>
        </w:rPr>
        <w:t>]</w:t>
      </w:r>
    </w:p>
    <w:p w14:paraId="292F0C21" w14:textId="1740648D" w:rsidR="008C4D5E" w:rsidRPr="009422A9" w:rsidRDefault="008C4D5E" w:rsidP="008C4D5E">
      <w:pPr>
        <w:pStyle w:val="ListParagraph"/>
        <w:numPr>
          <w:ilvl w:val="0"/>
          <w:numId w:val="24"/>
        </w:numPr>
        <w:jc w:val="both"/>
        <w:rPr>
          <w:sz w:val="20"/>
          <w:lang w:val="en-US" w:eastAsia="x-none"/>
        </w:rPr>
      </w:pPr>
      <w:r>
        <w:rPr>
          <w:sz w:val="20"/>
          <w:lang w:val="en-US" w:eastAsia="x-none"/>
        </w:rPr>
        <w:t>Extende</w:t>
      </w:r>
      <w:r w:rsidR="00035CD6">
        <w:rPr>
          <w:sz w:val="20"/>
          <w:lang w:val="en-US" w:eastAsia="x-none"/>
        </w:rPr>
        <w:t xml:space="preserve">d CP </w:t>
      </w:r>
      <w:r w:rsidR="00A4393E">
        <w:rPr>
          <w:sz w:val="20"/>
          <w:lang w:val="en-US" w:eastAsia="x-none"/>
        </w:rPr>
        <w:t>has large CP overhead (20</w:t>
      </w:r>
      <w:r>
        <w:rPr>
          <w:sz w:val="20"/>
          <w:lang w:val="en-US" w:eastAsia="x-none"/>
        </w:rPr>
        <w:t>%)</w:t>
      </w:r>
      <w:r w:rsidR="00A4393E">
        <w:rPr>
          <w:sz w:val="20"/>
          <w:lang w:val="en-US" w:eastAsia="x-none"/>
        </w:rPr>
        <w:t xml:space="preserve"> compared to that of normal CP (6.7%). Based on that, ECP is not a preferred configuration from spectral efficiency </w:t>
      </w:r>
      <w:r w:rsidR="00941880">
        <w:rPr>
          <w:sz w:val="20"/>
          <w:lang w:val="en-US" w:eastAsia="x-none"/>
        </w:rPr>
        <w:t xml:space="preserve">and fairness/co-existance </w:t>
      </w:r>
      <w:r w:rsidR="00A4393E">
        <w:rPr>
          <w:sz w:val="20"/>
          <w:lang w:val="en-US" w:eastAsia="x-none"/>
        </w:rPr>
        <w:t>point of view.</w:t>
      </w:r>
    </w:p>
    <w:p w14:paraId="65F7750A" w14:textId="7313619C" w:rsidR="008C4D5E" w:rsidRDefault="008C4D5E" w:rsidP="008C4D5E">
      <w:pPr>
        <w:pStyle w:val="ListParagraph"/>
        <w:numPr>
          <w:ilvl w:val="0"/>
          <w:numId w:val="24"/>
        </w:numPr>
        <w:jc w:val="both"/>
        <w:rPr>
          <w:sz w:val="20"/>
          <w:lang w:val="en-US" w:eastAsia="x-none"/>
        </w:rPr>
      </w:pPr>
      <w:r>
        <w:rPr>
          <w:sz w:val="20"/>
          <w:lang w:val="en-US" w:eastAsia="x-none"/>
        </w:rPr>
        <w:t>It is always possible to</w:t>
      </w:r>
      <w:r w:rsidR="00A4393E">
        <w:rPr>
          <w:sz w:val="20"/>
          <w:lang w:val="en-US" w:eastAsia="x-none"/>
        </w:rPr>
        <w:t xml:space="preserve"> increase the CP length by reducing the </w:t>
      </w:r>
      <w:r>
        <w:rPr>
          <w:sz w:val="20"/>
          <w:lang w:val="en-US" w:eastAsia="x-none"/>
        </w:rPr>
        <w:t>subcarrier spacing (</w:t>
      </w:r>
      <w:r w:rsidR="00A4393E">
        <w:rPr>
          <w:sz w:val="20"/>
          <w:lang w:val="en-US" w:eastAsia="x-none"/>
        </w:rPr>
        <w:t xml:space="preserve">according to Table 1).  </w:t>
      </w:r>
    </w:p>
    <w:p w14:paraId="0FF9A03E" w14:textId="77777777" w:rsidR="00A4393E" w:rsidRDefault="00A4393E" w:rsidP="006960DC">
      <w:pPr>
        <w:pStyle w:val="ListParagraph"/>
        <w:ind w:left="644"/>
        <w:jc w:val="both"/>
        <w:rPr>
          <w:sz w:val="20"/>
          <w:lang w:val="en-US" w:eastAsia="x-none"/>
        </w:rPr>
      </w:pPr>
    </w:p>
    <w:p w14:paraId="5A00AF6F" w14:textId="22FC6FF9" w:rsidR="00A4393E" w:rsidRPr="006960DC" w:rsidRDefault="00A4393E" w:rsidP="006960DC">
      <w:pPr>
        <w:jc w:val="both"/>
        <w:rPr>
          <w:lang w:val="en-US" w:eastAsia="x-none"/>
        </w:rPr>
      </w:pPr>
      <w:r>
        <w:rPr>
          <w:lang w:val="en-US" w:eastAsia="x-none"/>
        </w:rPr>
        <w:t>Based on the discussion above we make the following proposal:</w:t>
      </w:r>
    </w:p>
    <w:p w14:paraId="6A8F46AC" w14:textId="00C65E4B" w:rsidR="00A4393E" w:rsidRDefault="00A4393E" w:rsidP="00A4393E">
      <w:pPr>
        <w:spacing w:after="0"/>
        <w:jc w:val="both"/>
        <w:rPr>
          <w:i/>
          <w:lang w:val="en-US" w:eastAsia="x-none"/>
        </w:rPr>
      </w:pPr>
      <w:r w:rsidRPr="00953AB0">
        <w:rPr>
          <w:b/>
          <w:i/>
          <w:lang w:val="en-US" w:eastAsia="x-none"/>
        </w:rPr>
        <w:t xml:space="preserve">Proposal </w:t>
      </w:r>
      <w:r>
        <w:rPr>
          <w:b/>
          <w:i/>
          <w:lang w:val="en-US" w:eastAsia="x-none"/>
        </w:rPr>
        <w:t>2</w:t>
      </w:r>
      <w:r w:rsidRPr="00953AB0">
        <w:rPr>
          <w:b/>
          <w:i/>
          <w:lang w:val="en-US" w:eastAsia="x-none"/>
        </w:rPr>
        <w:t xml:space="preserve">: </w:t>
      </w:r>
      <w:r>
        <w:rPr>
          <w:i/>
          <w:lang w:val="en-US" w:eastAsia="x-none"/>
        </w:rPr>
        <w:t>Extended CP length is not considered for NR-U.</w:t>
      </w:r>
    </w:p>
    <w:p w14:paraId="6AF7BD2E" w14:textId="77777777" w:rsidR="00DF6773" w:rsidRPr="006960DC" w:rsidRDefault="00DF6773" w:rsidP="00B23414">
      <w:pPr>
        <w:spacing w:after="120"/>
        <w:jc w:val="both"/>
        <w:rPr>
          <w:i/>
          <w:lang w:val="en-US" w:eastAsia="x-none"/>
        </w:rPr>
      </w:pPr>
    </w:p>
    <w:p w14:paraId="7BB37EA9" w14:textId="7F958AE9" w:rsidR="00C214B4" w:rsidRPr="006276B8" w:rsidRDefault="00C214B4" w:rsidP="00C214B4">
      <w:pPr>
        <w:pStyle w:val="Heading2"/>
        <w:rPr>
          <w:sz w:val="28"/>
        </w:rPr>
      </w:pPr>
      <w:r w:rsidRPr="006276B8">
        <w:rPr>
          <w:sz w:val="28"/>
          <w:lang w:eastAsia="zh-CN"/>
        </w:rPr>
        <w:t>2</w:t>
      </w:r>
      <w:r w:rsidRPr="006276B8">
        <w:rPr>
          <w:sz w:val="28"/>
        </w:rPr>
        <w:t>.</w:t>
      </w:r>
      <w:r>
        <w:rPr>
          <w:sz w:val="28"/>
          <w:lang w:eastAsia="zh-CN"/>
        </w:rPr>
        <w:t>2</w:t>
      </w:r>
      <w:r w:rsidRPr="006276B8">
        <w:rPr>
          <w:sz w:val="28"/>
        </w:rPr>
        <w:tab/>
      </w:r>
      <w:r>
        <w:rPr>
          <w:sz w:val="28"/>
        </w:rPr>
        <w:t>Waveform</w:t>
      </w:r>
    </w:p>
    <w:p w14:paraId="71C000A1" w14:textId="3B587E8C" w:rsidR="00C214B4" w:rsidRPr="00C214B4" w:rsidRDefault="00C214B4" w:rsidP="00C214B4">
      <w:pPr>
        <w:spacing w:after="120"/>
        <w:jc w:val="both"/>
        <w:rPr>
          <w:lang w:val="en-US" w:eastAsia="x-none"/>
        </w:rPr>
      </w:pPr>
      <w:r w:rsidRPr="00C214B4">
        <w:rPr>
          <w:lang w:val="en-US" w:eastAsia="x-none"/>
        </w:rPr>
        <w:t xml:space="preserve">NR </w:t>
      </w:r>
      <w:r>
        <w:rPr>
          <w:lang w:val="en-US" w:eastAsia="x-none"/>
        </w:rPr>
        <w:t>Release 15</w:t>
      </w:r>
      <w:r w:rsidRPr="00C214B4">
        <w:rPr>
          <w:lang w:val="en-US" w:eastAsia="x-none"/>
        </w:rPr>
        <w:t xml:space="preserve"> </w:t>
      </w:r>
      <w:r>
        <w:rPr>
          <w:lang w:val="en-US" w:eastAsia="x-none"/>
        </w:rPr>
        <w:t xml:space="preserve">supports </w:t>
      </w:r>
      <w:r w:rsidRPr="00C214B4">
        <w:rPr>
          <w:lang w:val="en-US" w:eastAsia="x-none"/>
        </w:rPr>
        <w:t>CP-OFDM for DL</w:t>
      </w:r>
      <w:r>
        <w:rPr>
          <w:lang w:val="en-US" w:eastAsia="x-none"/>
        </w:rPr>
        <w:t xml:space="preserve"> and </w:t>
      </w:r>
      <w:r w:rsidR="006839E6">
        <w:rPr>
          <w:lang w:val="en-US" w:eastAsia="x-none"/>
        </w:rPr>
        <w:t xml:space="preserve">both </w:t>
      </w:r>
      <w:r w:rsidRPr="00C214B4">
        <w:rPr>
          <w:lang w:val="en-US" w:eastAsia="x-none"/>
        </w:rPr>
        <w:t>CP-OFDM and DFT-S-OFDM for UL</w:t>
      </w:r>
      <w:r w:rsidR="006839E6">
        <w:rPr>
          <w:lang w:val="en-US" w:eastAsia="x-none"/>
        </w:rPr>
        <w:t xml:space="preserve">. </w:t>
      </w:r>
      <w:r w:rsidRPr="00C214B4">
        <w:rPr>
          <w:lang w:val="en-US" w:eastAsia="x-none"/>
        </w:rPr>
        <w:t xml:space="preserve">We think </w:t>
      </w:r>
      <w:r>
        <w:rPr>
          <w:lang w:val="en-US" w:eastAsia="x-none"/>
        </w:rPr>
        <w:t xml:space="preserve">that </w:t>
      </w:r>
      <w:r w:rsidRPr="00C214B4">
        <w:rPr>
          <w:lang w:val="en-US" w:eastAsia="x-none"/>
        </w:rPr>
        <w:t xml:space="preserve">existing waveforms </w:t>
      </w:r>
      <w:r w:rsidR="00D112E1">
        <w:rPr>
          <w:lang w:val="en-US" w:eastAsia="x-none"/>
        </w:rPr>
        <w:t>are</w:t>
      </w:r>
      <w:r w:rsidR="00D112E1" w:rsidRPr="00C214B4">
        <w:rPr>
          <w:lang w:val="en-US" w:eastAsia="x-none"/>
        </w:rPr>
        <w:t xml:space="preserve"> </w:t>
      </w:r>
      <w:r w:rsidRPr="00C214B4">
        <w:rPr>
          <w:lang w:val="en-US" w:eastAsia="x-none"/>
        </w:rPr>
        <w:t xml:space="preserve">suitable </w:t>
      </w:r>
      <w:r w:rsidR="00D112E1">
        <w:rPr>
          <w:lang w:val="en-US" w:eastAsia="x-none"/>
        </w:rPr>
        <w:t xml:space="preserve">also </w:t>
      </w:r>
      <w:r w:rsidRPr="00C214B4">
        <w:rPr>
          <w:lang w:val="en-US" w:eastAsia="x-none"/>
        </w:rPr>
        <w:t xml:space="preserve">for </w:t>
      </w:r>
      <w:r w:rsidR="006839E6">
        <w:rPr>
          <w:lang w:val="en-US" w:eastAsia="x-none"/>
        </w:rPr>
        <w:t xml:space="preserve">NR </w:t>
      </w:r>
      <w:r w:rsidRPr="00C214B4">
        <w:rPr>
          <w:lang w:val="en-US" w:eastAsia="x-none"/>
        </w:rPr>
        <w:t>unlicensed operation</w:t>
      </w:r>
      <w:r w:rsidR="006839E6">
        <w:rPr>
          <w:lang w:val="en-US" w:eastAsia="x-none"/>
        </w:rPr>
        <w:t xml:space="preserve">. </w:t>
      </w:r>
      <w:r w:rsidRPr="00C214B4">
        <w:rPr>
          <w:lang w:val="en-US" w:eastAsia="x-none"/>
        </w:rPr>
        <w:t>If a new waveform is introduced for licensed bands above 52.6 GHz, it should also be used for 60 GHz unlicensed band</w:t>
      </w:r>
      <w:r w:rsidR="006839E6">
        <w:rPr>
          <w:lang w:val="en-US" w:eastAsia="x-none"/>
        </w:rPr>
        <w:t xml:space="preserve">. </w:t>
      </w:r>
    </w:p>
    <w:p w14:paraId="32CFBEDB" w14:textId="620F128F" w:rsidR="00AD61F5" w:rsidRPr="00EF58AE" w:rsidRDefault="00EF58AE" w:rsidP="00AD61F5">
      <w:pPr>
        <w:spacing w:after="0"/>
        <w:jc w:val="both"/>
        <w:rPr>
          <w:b/>
          <w:i/>
          <w:lang w:val="en-US" w:eastAsia="x-none"/>
        </w:rPr>
      </w:pPr>
      <w:r w:rsidRPr="00953AB0">
        <w:rPr>
          <w:b/>
          <w:i/>
          <w:lang w:val="en-US" w:eastAsia="x-none"/>
        </w:rPr>
        <w:t xml:space="preserve">Proposal </w:t>
      </w:r>
      <w:r w:rsidR="00A4393E">
        <w:rPr>
          <w:b/>
          <w:i/>
          <w:lang w:val="en-US" w:eastAsia="x-none"/>
        </w:rPr>
        <w:t>3</w:t>
      </w:r>
      <w:r w:rsidRPr="00953AB0">
        <w:rPr>
          <w:b/>
          <w:i/>
          <w:lang w:val="en-US" w:eastAsia="x-none"/>
        </w:rPr>
        <w:t xml:space="preserve">: </w:t>
      </w:r>
      <w:r w:rsidRPr="00EF58AE">
        <w:rPr>
          <w:i/>
          <w:lang w:val="en-US" w:eastAsia="x-none"/>
        </w:rPr>
        <w:t>Existing NR waveforms are suitable for NR unlicensed operation</w:t>
      </w:r>
      <w:r w:rsidR="00AD61F5">
        <w:rPr>
          <w:i/>
          <w:lang w:val="en-US" w:eastAsia="x-none"/>
        </w:rPr>
        <w:t>. I</w:t>
      </w:r>
      <w:r w:rsidR="00AD61F5" w:rsidRPr="00AD61F5">
        <w:rPr>
          <w:i/>
          <w:lang w:val="en-US" w:eastAsia="x-none"/>
        </w:rPr>
        <w:t xml:space="preserve">f a new waveform is introduced for licensed bands </w:t>
      </w:r>
      <w:r w:rsidR="00AD61F5">
        <w:rPr>
          <w:i/>
          <w:lang w:val="en-US" w:eastAsia="x-none"/>
        </w:rPr>
        <w:t>above</w:t>
      </w:r>
      <w:r w:rsidR="00AD61F5" w:rsidRPr="00AD61F5">
        <w:rPr>
          <w:i/>
          <w:lang w:val="en-US" w:eastAsia="x-none"/>
        </w:rPr>
        <w:t xml:space="preserve"> 52.6 GHz, it should also be used for 60 GHz unlicensed band</w:t>
      </w:r>
      <w:r w:rsidR="00AD61F5">
        <w:rPr>
          <w:i/>
          <w:lang w:val="en-US" w:eastAsia="x-none"/>
        </w:rPr>
        <w:t>.</w:t>
      </w:r>
    </w:p>
    <w:p w14:paraId="723553C4" w14:textId="2F679486" w:rsidR="00EF58AE" w:rsidRDefault="00EF58AE" w:rsidP="00EF58AE">
      <w:pPr>
        <w:spacing w:after="0"/>
        <w:jc w:val="both"/>
        <w:rPr>
          <w:i/>
          <w:lang w:val="en-US" w:eastAsia="x-none"/>
        </w:rPr>
      </w:pPr>
    </w:p>
    <w:p w14:paraId="38B83D2F" w14:textId="3ABA9137" w:rsidR="00CF4BC8" w:rsidRDefault="006839E6" w:rsidP="006839E6">
      <w:pPr>
        <w:jc w:val="both"/>
        <w:rPr>
          <w:rFonts w:cs="Arial"/>
          <w:lang w:val="en-US"/>
        </w:rPr>
      </w:pPr>
      <w:r>
        <w:rPr>
          <w:rFonts w:cs="Arial"/>
        </w:rPr>
        <w:t>U</w:t>
      </w:r>
      <w:r w:rsidRPr="00DE4B1A">
        <w:rPr>
          <w:rFonts w:cs="Arial"/>
        </w:rPr>
        <w:t xml:space="preserve">nlicensed band usage involves different regulatory rules which aim at fair and equal spectrum usage for different devices. </w:t>
      </w:r>
      <w:r>
        <w:rPr>
          <w:rFonts w:cs="Arial"/>
        </w:rPr>
        <w:t>The main rules involve l</w:t>
      </w:r>
      <w:r w:rsidRPr="006839E6">
        <w:rPr>
          <w:rFonts w:cs="Arial"/>
          <w:lang w:val="en-US"/>
        </w:rPr>
        <w:t>imitations related to occupied channel bandwidth</w:t>
      </w:r>
      <w:r>
        <w:rPr>
          <w:rFonts w:cs="Arial"/>
          <w:lang w:val="en-US"/>
        </w:rPr>
        <w:t xml:space="preserve"> (OCB) and maximum power spectral </w:t>
      </w:r>
      <w:r>
        <w:rPr>
          <w:rFonts w:cs="Arial"/>
          <w:lang w:val="en-US"/>
        </w:rPr>
        <w:lastRenderedPageBreak/>
        <w:t>density (PSD). Both rules are relevant especially for uplink transmission</w:t>
      </w:r>
      <w:r w:rsidR="00444190">
        <w:rPr>
          <w:rFonts w:cs="Arial"/>
          <w:lang w:val="en-US"/>
        </w:rPr>
        <w:t>s</w:t>
      </w:r>
      <w:r>
        <w:rPr>
          <w:rFonts w:cs="Arial"/>
          <w:lang w:val="en-US"/>
        </w:rPr>
        <w:t xml:space="preserve"> since DL can be made wideband by gNB scheduler decision. </w:t>
      </w:r>
    </w:p>
    <w:p w14:paraId="40D3F94C" w14:textId="7747D8D4" w:rsidR="006839E6" w:rsidRDefault="006839E6" w:rsidP="00CF4BC8">
      <w:pPr>
        <w:jc w:val="both"/>
        <w:rPr>
          <w:rFonts w:cs="Arial"/>
        </w:rPr>
      </w:pPr>
      <w:r w:rsidRPr="00630F20">
        <w:rPr>
          <w:rFonts w:cs="Arial"/>
        </w:rPr>
        <w:t>Block Interleaved OFDMA (B-IFDMA) is the baseline transmission scheme used for uplink transmission</w:t>
      </w:r>
      <w:r w:rsidR="002E41AE">
        <w:rPr>
          <w:rFonts w:cs="Arial"/>
        </w:rPr>
        <w:t>s</w:t>
      </w:r>
      <w:r w:rsidRPr="00630F20">
        <w:rPr>
          <w:rFonts w:cs="Arial"/>
        </w:rPr>
        <w:t xml:space="preserve"> in </w:t>
      </w:r>
      <w:r w:rsidR="00BC4958">
        <w:rPr>
          <w:rFonts w:cs="Arial"/>
        </w:rPr>
        <w:t>LTE LAA</w:t>
      </w:r>
      <w:r w:rsidRPr="00630F20">
        <w:rPr>
          <w:rFonts w:cs="Arial"/>
        </w:rPr>
        <w:t>.</w:t>
      </w:r>
      <w:r>
        <w:rPr>
          <w:rFonts w:cs="Arial"/>
        </w:rPr>
        <w:t xml:space="preserve"> It</w:t>
      </w:r>
      <w:r w:rsidR="002D067B">
        <w:rPr>
          <w:rFonts w:cs="Arial"/>
        </w:rPr>
        <w:t xml:space="preserve"> i</w:t>
      </w:r>
      <w:r>
        <w:rPr>
          <w:rFonts w:cs="Arial"/>
        </w:rPr>
        <w:t>s based on usage of 10 interlaces, each having 10 clusters with 1 PRB.</w:t>
      </w:r>
      <w:r w:rsidR="00CF4BC8">
        <w:rPr>
          <w:rFonts w:cs="Arial"/>
        </w:rPr>
        <w:t xml:space="preserve"> </w:t>
      </w:r>
      <w:r w:rsidR="002E41AE" w:rsidRPr="002E41AE">
        <w:rPr>
          <w:rFonts w:cs="Arial"/>
        </w:rPr>
        <w:t>We think that also in the NR, there is a need to support interlace-based operation to achieve sufficiently high transmission power under PSD limit and to meet regulatory rules defined f</w:t>
      </w:r>
      <w:r w:rsidR="002E41AE">
        <w:rPr>
          <w:rFonts w:cs="Arial"/>
        </w:rPr>
        <w:t>or occupied channel bandwidth</w:t>
      </w:r>
      <w:r w:rsidR="00393F21" w:rsidRPr="00393F21">
        <w:rPr>
          <w:rFonts w:cs="Arial"/>
        </w:rPr>
        <w:t>. The NR solution needs to be designed to support for multiple numerologies as well as wideband operation. We think that interlace based transmission needs to be supported by all numerology options defined for NR-U at least for the scenarios applicable to 5 GHz scenario.</w:t>
      </w:r>
      <w:r w:rsidR="00051616">
        <w:rPr>
          <w:rFonts w:cs="Arial"/>
        </w:rPr>
        <w:t xml:space="preserve"> We consider interlace design in more details in [</w:t>
      </w:r>
      <w:r w:rsidR="0066025B">
        <w:rPr>
          <w:rFonts w:cs="Arial"/>
        </w:rPr>
        <w:t>4</w:t>
      </w:r>
      <w:r w:rsidR="00051616">
        <w:rPr>
          <w:rFonts w:cs="Arial"/>
        </w:rPr>
        <w:t>]</w:t>
      </w:r>
      <w:r w:rsidR="00F664F7">
        <w:rPr>
          <w:rFonts w:cs="Arial"/>
        </w:rPr>
        <w:t xml:space="preserve"> and [5]</w:t>
      </w:r>
      <w:r w:rsidR="002B7212">
        <w:rPr>
          <w:rFonts w:cs="Arial"/>
        </w:rPr>
        <w:t>.</w:t>
      </w:r>
    </w:p>
    <w:p w14:paraId="6D54CC95" w14:textId="78AB4832" w:rsidR="00325CCE" w:rsidRPr="00325CCE" w:rsidRDefault="00325CCE" w:rsidP="00325CCE">
      <w:pPr>
        <w:jc w:val="both"/>
        <w:rPr>
          <w:rFonts w:cs="Arial"/>
        </w:rPr>
      </w:pPr>
      <w:r w:rsidRPr="00325CCE">
        <w:rPr>
          <w:rFonts w:cs="Arial"/>
        </w:rPr>
        <w:t>The regulatory rules are also evolving. For example, according to the latest updates made for ETSI regulation corresponding to 5GHz band, during a Channel Occupancy Time (COT) of 5GHz band, equipment may operate temporarily with an OCB of less than 80% of its Nominal Channel Bandwidth with a minimum of 2 MHz. We see that the potential benefits from this allowance should be explored. For example, a wide BW variant of a NR signal</w:t>
      </w:r>
      <w:r w:rsidR="00B60796">
        <w:rPr>
          <w:rFonts w:cs="Arial"/>
        </w:rPr>
        <w:t xml:space="preserve"> (i.e. interlace -based transmission, or localized transmission fulfilling the OCB rule)</w:t>
      </w:r>
      <w:r w:rsidRPr="00325CCE">
        <w:rPr>
          <w:rFonts w:cs="Arial"/>
        </w:rPr>
        <w:t xml:space="preserve"> may use resources less efficiently than the original Rel-15 NR signal. In such case, the wide BW variant could be used only when OCB requirement needs to be met by the signal, and more efficient Rel-15 NR signal would be used otherwise.</w:t>
      </w:r>
    </w:p>
    <w:p w14:paraId="2751C31E" w14:textId="5DFD979B" w:rsidR="00EF58AE" w:rsidRDefault="00EF58AE" w:rsidP="00EF58AE">
      <w:pPr>
        <w:spacing w:after="0"/>
        <w:jc w:val="both"/>
        <w:rPr>
          <w:i/>
          <w:lang w:val="en-US" w:eastAsia="x-none"/>
        </w:rPr>
      </w:pPr>
      <w:r w:rsidRPr="00953AB0">
        <w:rPr>
          <w:b/>
          <w:i/>
          <w:lang w:val="en-US" w:eastAsia="x-none"/>
        </w:rPr>
        <w:t xml:space="preserve">Proposal </w:t>
      </w:r>
      <w:r w:rsidR="00A4393E">
        <w:rPr>
          <w:b/>
          <w:i/>
          <w:lang w:val="en-US" w:eastAsia="x-none"/>
        </w:rPr>
        <w:t>4</w:t>
      </w:r>
      <w:r w:rsidRPr="00953AB0">
        <w:rPr>
          <w:b/>
          <w:i/>
          <w:lang w:val="en-US" w:eastAsia="x-none"/>
        </w:rPr>
        <w:t xml:space="preserve">: </w:t>
      </w:r>
      <w:r w:rsidRPr="00EF58AE">
        <w:rPr>
          <w:i/>
          <w:lang w:val="en-US" w:eastAsia="x-none"/>
        </w:rPr>
        <w:t xml:space="preserve">UL resource allocation needs to be enhanced </w:t>
      </w:r>
      <w:r w:rsidR="008B40E6">
        <w:rPr>
          <w:i/>
          <w:lang w:val="en-US" w:eastAsia="x-none"/>
        </w:rPr>
        <w:t>to</w:t>
      </w:r>
      <w:r w:rsidR="00CF4BC8">
        <w:rPr>
          <w:i/>
          <w:lang w:val="en-US" w:eastAsia="x-none"/>
        </w:rPr>
        <w:t xml:space="preserve"> support interlace based operation.</w:t>
      </w:r>
    </w:p>
    <w:p w14:paraId="1814A04E" w14:textId="64ADEF72" w:rsidR="00325CCE" w:rsidRPr="00595389" w:rsidRDefault="00325CCE" w:rsidP="00325CCE">
      <w:pPr>
        <w:jc w:val="both"/>
        <w:rPr>
          <w:rFonts w:cs="Arial"/>
          <w:i/>
        </w:rPr>
      </w:pPr>
      <w:r w:rsidRPr="00595389">
        <w:rPr>
          <w:rFonts w:cs="Arial"/>
          <w:b/>
          <w:i/>
        </w:rPr>
        <w:t xml:space="preserve">Proposal </w:t>
      </w:r>
      <w:r w:rsidR="00A4393E">
        <w:rPr>
          <w:rFonts w:cs="Arial"/>
          <w:b/>
          <w:i/>
        </w:rPr>
        <w:t>5</w:t>
      </w:r>
      <w:r w:rsidRPr="00595389">
        <w:rPr>
          <w:rFonts w:cs="Arial"/>
          <w:b/>
          <w:i/>
        </w:rPr>
        <w:t>:</w:t>
      </w:r>
      <w:r w:rsidRPr="00325CCE">
        <w:rPr>
          <w:rFonts w:cs="Arial"/>
        </w:rPr>
        <w:t xml:space="preserve"> </w:t>
      </w:r>
      <w:r w:rsidRPr="00595389">
        <w:rPr>
          <w:rFonts w:cs="Arial"/>
          <w:i/>
        </w:rPr>
        <w:t>OCB requirement is not applicable in all cases and in those cases Rel-15 NR channels / signals may be used.</w:t>
      </w:r>
    </w:p>
    <w:p w14:paraId="18168987" w14:textId="7FC7D5F5" w:rsidR="00456C0F" w:rsidRPr="001F28AA" w:rsidRDefault="00456C0F" w:rsidP="00456C0F">
      <w:pPr>
        <w:pStyle w:val="Heading1"/>
      </w:pPr>
      <w:r>
        <w:rPr>
          <w:color w:val="000000"/>
        </w:rPr>
        <w:t>3</w:t>
      </w:r>
      <w:r w:rsidRPr="00A51522">
        <w:rPr>
          <w:color w:val="000000"/>
        </w:rPr>
        <w:tab/>
      </w:r>
      <w:r w:rsidR="00444190">
        <w:t>Frame S</w:t>
      </w:r>
      <w:r w:rsidR="0075660B">
        <w:t>tructure</w:t>
      </w:r>
      <w:r w:rsidR="00A50679">
        <w:t xml:space="preserve">   </w:t>
      </w:r>
    </w:p>
    <w:p w14:paraId="150052E4" w14:textId="19F4C898" w:rsidR="00D1144C" w:rsidRPr="006276B8" w:rsidRDefault="00866746" w:rsidP="00D1144C">
      <w:pPr>
        <w:pStyle w:val="Heading2"/>
        <w:rPr>
          <w:sz w:val="28"/>
        </w:rPr>
      </w:pPr>
      <w:r>
        <w:rPr>
          <w:sz w:val="28"/>
          <w:lang w:eastAsia="zh-CN"/>
        </w:rPr>
        <w:t>3</w:t>
      </w:r>
      <w:r w:rsidR="00D1144C" w:rsidRPr="006276B8">
        <w:rPr>
          <w:sz w:val="28"/>
        </w:rPr>
        <w:t>.</w:t>
      </w:r>
      <w:r w:rsidR="00D1144C">
        <w:rPr>
          <w:sz w:val="28"/>
          <w:lang w:eastAsia="zh-CN"/>
        </w:rPr>
        <w:t>1</w:t>
      </w:r>
      <w:r w:rsidR="00D1144C" w:rsidRPr="006276B8">
        <w:rPr>
          <w:sz w:val="28"/>
        </w:rPr>
        <w:tab/>
      </w:r>
      <w:r>
        <w:rPr>
          <w:sz w:val="28"/>
        </w:rPr>
        <w:t>COT structure</w:t>
      </w:r>
    </w:p>
    <w:p w14:paraId="30BCCD23" w14:textId="2051AE3D" w:rsidR="00AA0117" w:rsidRDefault="00BC4958" w:rsidP="00DF6E3F">
      <w:pPr>
        <w:widowControl w:val="0"/>
        <w:overflowPunct/>
        <w:autoSpaceDE/>
        <w:autoSpaceDN/>
        <w:adjustRightInd/>
        <w:spacing w:after="0"/>
        <w:jc w:val="both"/>
        <w:textAlignment w:val="auto"/>
      </w:pPr>
      <w:r>
        <w:t>In a</w:t>
      </w:r>
      <w:r w:rsidRPr="0089450C">
        <w:t xml:space="preserve"> licensed band </w:t>
      </w:r>
      <w:r>
        <w:t>(esp. latency critical)</w:t>
      </w:r>
      <w:r w:rsidRPr="0089450C">
        <w:t xml:space="preserve"> scenario,</w:t>
      </w:r>
      <w:r w:rsidR="00CC36D2">
        <w:t xml:space="preserve"> the</w:t>
      </w:r>
      <w:r w:rsidRPr="0089450C">
        <w:t xml:space="preserve"> </w:t>
      </w:r>
      <w:r w:rsidR="00CC36D2">
        <w:t xml:space="preserve">deployment of frequent </w:t>
      </w:r>
      <w:r w:rsidR="001F6DA3">
        <w:t xml:space="preserve">DL-UL and UL-DL </w:t>
      </w:r>
      <w:r w:rsidRPr="0089450C">
        <w:t xml:space="preserve">switching points </w:t>
      </w:r>
      <w:r w:rsidR="00CC36D2">
        <w:t>is</w:t>
      </w:r>
      <w:r w:rsidRPr="0089450C">
        <w:t xml:space="preserve"> well motivated</w:t>
      </w:r>
      <w:r>
        <w:t>. On the other hand</w:t>
      </w:r>
      <w:r w:rsidR="00AF5D1E">
        <w:t>,</w:t>
      </w:r>
      <w:r>
        <w:t xml:space="preserve"> when operating in unlicensed band scenario, because of the regulations, it may sometimes make sense to operate with less frequent switching points to match the regulatory requirements w.r.t. Maximum Channel Occupancy Time (MCOT) at the cost of latency, of course. </w:t>
      </w:r>
    </w:p>
    <w:p w14:paraId="5E554871" w14:textId="08C8FF94" w:rsidR="00AA0117" w:rsidRDefault="00AA0117" w:rsidP="00DF6E3F">
      <w:pPr>
        <w:widowControl w:val="0"/>
        <w:overflowPunct/>
        <w:autoSpaceDE/>
        <w:autoSpaceDN/>
        <w:adjustRightInd/>
        <w:spacing w:after="0"/>
        <w:jc w:val="both"/>
        <w:textAlignment w:val="auto"/>
      </w:pPr>
    </w:p>
    <w:p w14:paraId="0040DB2E" w14:textId="4DE2C9D3" w:rsidR="00AA0117" w:rsidRDefault="00AA0117" w:rsidP="00AA0117">
      <w:pPr>
        <w:widowControl w:val="0"/>
        <w:overflowPunct/>
        <w:autoSpaceDE/>
        <w:autoSpaceDN/>
        <w:adjustRightInd/>
        <w:spacing w:after="0"/>
        <w:jc w:val="both"/>
        <w:textAlignment w:val="auto"/>
        <w:rPr>
          <w:lang w:val="en-US"/>
        </w:rPr>
      </w:pPr>
      <w:r>
        <w:rPr>
          <w:lang w:val="en-US"/>
        </w:rPr>
        <w:t>It was agreed in RAN1#92bis to “</w:t>
      </w:r>
      <w:r w:rsidRPr="001E2EFA">
        <w:rPr>
          <w:i/>
          <w:lang w:val="en-US"/>
        </w:rPr>
        <w:t>study supporting more than one switching points within a TxOP</w:t>
      </w:r>
      <w:r>
        <w:rPr>
          <w:lang w:val="en-US"/>
        </w:rPr>
        <w:t xml:space="preserve">”. Figure 1 shows </w:t>
      </w:r>
      <w:r w:rsidR="000714D7">
        <w:rPr>
          <w:lang w:val="en-US"/>
        </w:rPr>
        <w:t xml:space="preserve">an example with TxOP </w:t>
      </w:r>
      <w:r>
        <w:rPr>
          <w:lang w:val="en-US"/>
        </w:rPr>
        <w:t>with one and two switching points. Support for multiple switching points can provide e.g. improved latency performance without increasing the overhead of frequent</w:t>
      </w:r>
      <w:r w:rsidR="00A64AE7">
        <w:rPr>
          <w:lang w:val="en-US"/>
        </w:rPr>
        <w:t xml:space="preserve"> (Type 1)</w:t>
      </w:r>
      <w:r>
        <w:rPr>
          <w:lang w:val="en-US"/>
        </w:rPr>
        <w:t xml:space="preserve"> channel access procedures too much. </w:t>
      </w:r>
      <w:r w:rsidR="006611B8">
        <w:rPr>
          <w:lang w:val="en-US"/>
        </w:rPr>
        <w:t>F</w:t>
      </w:r>
      <w:r>
        <w:rPr>
          <w:lang w:val="en-US"/>
        </w:rPr>
        <w:t xml:space="preserve">rom HARQ/scheduling point of view, it is not a problem to support TxOP with multiple switching points: Similar functionality is supported already </w:t>
      </w:r>
      <w:r w:rsidR="00961A13">
        <w:rPr>
          <w:lang w:val="en-US"/>
        </w:rPr>
        <w:t>for</w:t>
      </w:r>
      <w:r>
        <w:rPr>
          <w:lang w:val="en-US"/>
        </w:rPr>
        <w:t xml:space="preserve"> NR licensed band operation.  </w:t>
      </w:r>
    </w:p>
    <w:p w14:paraId="54D2DD4C" w14:textId="77777777" w:rsidR="00AA0117" w:rsidRDefault="00AA0117" w:rsidP="00AA0117">
      <w:pPr>
        <w:widowControl w:val="0"/>
        <w:overflowPunct/>
        <w:autoSpaceDE/>
        <w:autoSpaceDN/>
        <w:adjustRightInd/>
        <w:spacing w:after="0"/>
        <w:jc w:val="both"/>
        <w:textAlignment w:val="auto"/>
        <w:rPr>
          <w:lang w:val="en-US"/>
        </w:rPr>
      </w:pPr>
    </w:p>
    <w:p w14:paraId="31771676" w14:textId="02C9F0B9" w:rsidR="00AA0117" w:rsidRPr="00B23414" w:rsidRDefault="00FA73C0" w:rsidP="00AA0117">
      <w:pPr>
        <w:widowControl w:val="0"/>
        <w:overflowPunct/>
        <w:autoSpaceDE/>
        <w:autoSpaceDN/>
        <w:adjustRightInd/>
        <w:spacing w:after="0"/>
        <w:jc w:val="both"/>
        <w:textAlignment w:val="auto"/>
        <w:rPr>
          <w:lang w:val="en-US"/>
        </w:rPr>
      </w:pPr>
      <w:r>
        <w:rPr>
          <w:lang w:val="en-US"/>
        </w:rPr>
        <w:t>Multiple</w:t>
      </w:r>
      <w:r w:rsidR="00AA0117">
        <w:rPr>
          <w:lang w:val="en-US"/>
        </w:rPr>
        <w:t xml:space="preserve"> switching points within a TxOP needs to be taken in</w:t>
      </w:r>
      <w:r w:rsidR="006611B8">
        <w:rPr>
          <w:lang w:val="en-US"/>
        </w:rPr>
        <w:t xml:space="preserve">to account in the </w:t>
      </w:r>
      <w:r w:rsidR="00961A13">
        <w:rPr>
          <w:lang w:val="en-US"/>
        </w:rPr>
        <w:t>channel access</w:t>
      </w:r>
      <w:r w:rsidR="006611B8">
        <w:rPr>
          <w:lang w:val="en-US"/>
        </w:rPr>
        <w:t xml:space="preserve"> procedure</w:t>
      </w:r>
      <w:r w:rsidR="00961A13">
        <w:rPr>
          <w:lang w:val="en-US"/>
        </w:rPr>
        <w:t>s.</w:t>
      </w:r>
      <w:r w:rsidR="00F664F7">
        <w:rPr>
          <w:lang w:val="en-US"/>
        </w:rPr>
        <w:t xml:space="preserve"> The length of the switching gap between different </w:t>
      </w:r>
      <w:r w:rsidR="006960DC">
        <w:rPr>
          <w:lang w:val="en-US"/>
        </w:rPr>
        <w:t>link directions</w:t>
      </w:r>
      <w:r w:rsidR="00F664F7">
        <w:rPr>
          <w:lang w:val="en-US"/>
        </w:rPr>
        <w:t xml:space="preserve"> needs to be considered as well.</w:t>
      </w:r>
      <w:r w:rsidR="00961A13">
        <w:rPr>
          <w:lang w:val="en-US"/>
        </w:rPr>
        <w:t xml:space="preserve"> One example</w:t>
      </w:r>
      <w:r w:rsidR="00F664F7">
        <w:rPr>
          <w:lang w:val="en-US"/>
        </w:rPr>
        <w:t xml:space="preserve"> of multiple switching points within a TxOP </w:t>
      </w:r>
      <w:r w:rsidR="00961A13">
        <w:rPr>
          <w:lang w:val="en-US"/>
        </w:rPr>
        <w:t>is shown</w:t>
      </w:r>
      <w:r w:rsidR="006611B8">
        <w:rPr>
          <w:lang w:val="en-US"/>
        </w:rPr>
        <w:t xml:space="preserve"> in Figure 1: </w:t>
      </w:r>
    </w:p>
    <w:p w14:paraId="7E39E99F" w14:textId="75152A3A" w:rsidR="00AA0117" w:rsidRDefault="00AA0117" w:rsidP="006960DC">
      <w:pPr>
        <w:pStyle w:val="ListParagraph"/>
        <w:widowControl w:val="0"/>
        <w:numPr>
          <w:ilvl w:val="0"/>
          <w:numId w:val="42"/>
        </w:numPr>
        <w:jc w:val="both"/>
        <w:rPr>
          <w:lang w:val="en-US"/>
        </w:rPr>
      </w:pPr>
      <w:r>
        <w:rPr>
          <w:sz w:val="20"/>
          <w:szCs w:val="20"/>
          <w:lang w:val="en-US"/>
        </w:rPr>
        <w:t>gNB performs Type 1 LBT at the beginning of TxOP</w:t>
      </w:r>
      <w:r w:rsidR="006611B8">
        <w:rPr>
          <w:sz w:val="20"/>
          <w:szCs w:val="20"/>
          <w:lang w:val="en-US"/>
        </w:rPr>
        <w:t xml:space="preserve"> (similarly as in LTE LAA)</w:t>
      </w:r>
    </w:p>
    <w:p w14:paraId="47CBA46D" w14:textId="2D52D991" w:rsidR="00AA0117" w:rsidRDefault="00AA0117" w:rsidP="006960DC">
      <w:pPr>
        <w:pStyle w:val="ListParagraph"/>
        <w:widowControl w:val="0"/>
        <w:numPr>
          <w:ilvl w:val="0"/>
          <w:numId w:val="42"/>
        </w:numPr>
        <w:jc w:val="both"/>
        <w:rPr>
          <w:lang w:val="en-US"/>
        </w:rPr>
      </w:pPr>
      <w:r>
        <w:rPr>
          <w:sz w:val="20"/>
          <w:szCs w:val="20"/>
          <w:lang w:val="en-US"/>
        </w:rPr>
        <w:t>UEs perform Type 2 LBT at the beginning of the first UL portion</w:t>
      </w:r>
      <w:r w:rsidR="006611B8">
        <w:rPr>
          <w:sz w:val="20"/>
          <w:szCs w:val="20"/>
          <w:lang w:val="en-US"/>
        </w:rPr>
        <w:t xml:space="preserve"> (similarly as in LTE LAA)</w:t>
      </w:r>
    </w:p>
    <w:p w14:paraId="7FBB2179" w14:textId="711F9019" w:rsidR="00A64AE7" w:rsidRPr="00A64AE7" w:rsidRDefault="00AA0117" w:rsidP="006960DC">
      <w:pPr>
        <w:pStyle w:val="ListParagraph"/>
        <w:widowControl w:val="0"/>
        <w:numPr>
          <w:ilvl w:val="0"/>
          <w:numId w:val="42"/>
        </w:numPr>
        <w:jc w:val="both"/>
        <w:rPr>
          <w:lang w:val="en-US"/>
        </w:rPr>
      </w:pPr>
      <w:r>
        <w:rPr>
          <w:sz w:val="20"/>
          <w:szCs w:val="20"/>
          <w:lang w:val="en-US"/>
        </w:rPr>
        <w:t>In th</w:t>
      </w:r>
      <w:r w:rsidR="00FA73C0">
        <w:rPr>
          <w:sz w:val="20"/>
          <w:szCs w:val="20"/>
          <w:lang w:val="en-US"/>
        </w:rPr>
        <w:t xml:space="preserve">e case of </w:t>
      </w:r>
      <w:r w:rsidR="00961A13">
        <w:rPr>
          <w:sz w:val="20"/>
          <w:szCs w:val="20"/>
          <w:lang w:val="en-US"/>
        </w:rPr>
        <w:t>two</w:t>
      </w:r>
      <w:r w:rsidR="006611B8">
        <w:rPr>
          <w:sz w:val="20"/>
          <w:szCs w:val="20"/>
          <w:lang w:val="en-US"/>
        </w:rPr>
        <w:t xml:space="preserve"> </w:t>
      </w:r>
      <w:r w:rsidR="00FA73C0">
        <w:rPr>
          <w:sz w:val="20"/>
          <w:szCs w:val="20"/>
          <w:lang w:val="en-US"/>
        </w:rPr>
        <w:t>switching points, gNB/UE</w:t>
      </w:r>
      <w:r w:rsidR="006611B8">
        <w:rPr>
          <w:sz w:val="20"/>
          <w:szCs w:val="20"/>
          <w:lang w:val="en-US"/>
        </w:rPr>
        <w:t xml:space="preserve"> perform Type 2 LBT or no LBT before the 2</w:t>
      </w:r>
      <w:r w:rsidR="006611B8" w:rsidRPr="006960DC">
        <w:rPr>
          <w:sz w:val="20"/>
          <w:szCs w:val="20"/>
          <w:vertAlign w:val="superscript"/>
          <w:lang w:val="en-US"/>
        </w:rPr>
        <w:t>nd</w:t>
      </w:r>
      <w:r w:rsidR="006611B8">
        <w:rPr>
          <w:sz w:val="20"/>
          <w:szCs w:val="20"/>
          <w:lang w:val="en-US"/>
        </w:rPr>
        <w:t xml:space="preserve"> transmission.</w:t>
      </w:r>
      <w:r w:rsidR="00F664F7">
        <w:rPr>
          <w:sz w:val="20"/>
          <w:szCs w:val="20"/>
          <w:lang w:val="en-US"/>
        </w:rPr>
        <w:t xml:space="preserve"> </w:t>
      </w:r>
      <w:r w:rsidR="00FA73C0">
        <w:rPr>
          <w:sz w:val="20"/>
          <w:szCs w:val="20"/>
          <w:lang w:val="en-US"/>
        </w:rPr>
        <w:t xml:space="preserve"> </w:t>
      </w:r>
    </w:p>
    <w:p w14:paraId="4E889428" w14:textId="77777777" w:rsidR="00A64AE7" w:rsidRDefault="00A64AE7" w:rsidP="00A64AE7">
      <w:pPr>
        <w:widowControl w:val="0"/>
        <w:spacing w:after="0"/>
        <w:jc w:val="both"/>
        <w:rPr>
          <w:lang w:val="en-US"/>
        </w:rPr>
      </w:pPr>
    </w:p>
    <w:p w14:paraId="68A8A057" w14:textId="78962B9B" w:rsidR="00A64AE7" w:rsidRDefault="00A64AE7" w:rsidP="00A64AE7">
      <w:pPr>
        <w:widowControl w:val="0"/>
        <w:overflowPunct/>
        <w:autoSpaceDE/>
        <w:autoSpaceDN/>
        <w:adjustRightInd/>
        <w:spacing w:after="0"/>
        <w:jc w:val="both"/>
        <w:textAlignment w:val="auto"/>
        <w:rPr>
          <w:i/>
        </w:rPr>
      </w:pPr>
      <w:r w:rsidRPr="006960DC">
        <w:rPr>
          <w:b/>
          <w:i/>
        </w:rPr>
        <w:t>Observation</w:t>
      </w:r>
      <w:r>
        <w:rPr>
          <w:b/>
          <w:i/>
        </w:rPr>
        <w:t xml:space="preserve"> 1</w:t>
      </w:r>
      <w:r w:rsidRPr="006960DC">
        <w:rPr>
          <w:b/>
          <w:i/>
        </w:rPr>
        <w:t>:</w:t>
      </w:r>
      <w:r w:rsidRPr="006960DC">
        <w:rPr>
          <w:i/>
        </w:rPr>
        <w:t xml:space="preserve"> Introduction of multiple-switching points within COT does not</w:t>
      </w:r>
      <w:r>
        <w:rPr>
          <w:i/>
        </w:rPr>
        <w:t xml:space="preserve"> necessarily</w:t>
      </w:r>
      <w:r w:rsidRPr="006960DC">
        <w:rPr>
          <w:i/>
        </w:rPr>
        <w:t xml:space="preserve"> increase the frequency of TYPE 2 LBT, while significantly reduces the latency. </w:t>
      </w:r>
    </w:p>
    <w:p w14:paraId="58401E2B" w14:textId="77777777" w:rsidR="00A64AE7" w:rsidRPr="006960DC" w:rsidRDefault="00A64AE7" w:rsidP="00A64AE7">
      <w:pPr>
        <w:widowControl w:val="0"/>
        <w:overflowPunct/>
        <w:autoSpaceDE/>
        <w:autoSpaceDN/>
        <w:adjustRightInd/>
        <w:spacing w:after="0"/>
        <w:jc w:val="both"/>
        <w:textAlignment w:val="auto"/>
        <w:rPr>
          <w:i/>
        </w:rPr>
      </w:pPr>
    </w:p>
    <w:p w14:paraId="7263DD9E" w14:textId="4956F92A" w:rsidR="00AA0117" w:rsidRDefault="00AA0117" w:rsidP="00A64AE7">
      <w:pPr>
        <w:widowControl w:val="0"/>
        <w:jc w:val="center"/>
        <w:rPr>
          <w:lang w:val="en-US"/>
        </w:rPr>
      </w:pPr>
      <w:r w:rsidRPr="002D5066">
        <w:rPr>
          <w:noProof/>
        </w:rPr>
        <w:drawing>
          <wp:inline distT="0" distB="0" distL="0" distR="0" wp14:anchorId="52C55102" wp14:editId="423584AF">
            <wp:extent cx="4297119" cy="1693839"/>
            <wp:effectExtent l="0" t="0" r="825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15649" cy="1701143"/>
                    </a:xfrm>
                    <a:prstGeom prst="rect">
                      <a:avLst/>
                    </a:prstGeom>
                    <a:noFill/>
                    <a:ln>
                      <a:noFill/>
                    </a:ln>
                  </pic:spPr>
                </pic:pic>
              </a:graphicData>
            </a:graphic>
          </wp:inline>
        </w:drawing>
      </w:r>
    </w:p>
    <w:p w14:paraId="7C39DC4C" w14:textId="5B067B06" w:rsidR="00AA0117" w:rsidRDefault="00AA0117" w:rsidP="00A64AE7">
      <w:pPr>
        <w:pStyle w:val="Caption"/>
        <w:spacing w:before="0" w:after="0"/>
        <w:jc w:val="center"/>
      </w:pPr>
      <w:r>
        <w:t xml:space="preserve">Figure </w:t>
      </w:r>
      <w:r>
        <w:fldChar w:fldCharType="begin"/>
      </w:r>
      <w:r>
        <w:instrText xml:space="preserve"> SEQ Figure \* ARABIC </w:instrText>
      </w:r>
      <w:r>
        <w:fldChar w:fldCharType="separate"/>
      </w:r>
      <w:r>
        <w:rPr>
          <w:noProof/>
        </w:rPr>
        <w:t>1</w:t>
      </w:r>
      <w:r>
        <w:fldChar w:fldCharType="end"/>
      </w:r>
      <w:r>
        <w:t>. TxOP with 1 and 2 switching points</w:t>
      </w:r>
    </w:p>
    <w:p w14:paraId="37FA7087" w14:textId="5599C123" w:rsidR="006611B8" w:rsidRDefault="00BC4958" w:rsidP="006960DC">
      <w:pPr>
        <w:widowControl w:val="0"/>
        <w:overflowPunct/>
        <w:autoSpaceDE/>
        <w:autoSpaceDN/>
        <w:adjustRightInd/>
        <w:spacing w:after="0"/>
        <w:jc w:val="both"/>
        <w:textAlignment w:val="auto"/>
        <w:rPr>
          <w:rFonts w:eastAsia="MS Mincho"/>
          <w:lang w:eastAsia="ja-JP"/>
        </w:rPr>
      </w:pPr>
      <w:bookmarkStart w:id="0" w:name="_GoBack"/>
      <w:bookmarkEnd w:id="0"/>
      <w:r>
        <w:lastRenderedPageBreak/>
        <w:t>NR operation should support wide range of UL/DL ratios, including ones where there are several consecutive DL or UL slots. Hence, there is a need for fully flexible operation in term</w:t>
      </w:r>
      <w:r w:rsidR="002F62CF">
        <w:t>s</w:t>
      </w:r>
      <w:r>
        <w:t xml:space="preserve"> of DL/UL switching, which</w:t>
      </w:r>
      <w:r w:rsidRPr="0016316A">
        <w:t xml:space="preserve"> can be achieved </w:t>
      </w:r>
      <w:r>
        <w:t>by means of the three basic slot types: bi-directional slot, DL</w:t>
      </w:r>
      <w:r w:rsidR="006D6CA7">
        <w:t>-</w:t>
      </w:r>
      <w:r>
        <w:t>only slot and UL</w:t>
      </w:r>
      <w:r w:rsidR="006D6CA7">
        <w:t>-</w:t>
      </w:r>
      <w:r>
        <w:t xml:space="preserve">only slot. </w:t>
      </w:r>
      <w:r w:rsidR="00490631">
        <w:rPr>
          <w:lang w:val="en-US"/>
        </w:rPr>
        <w:t>It</w:t>
      </w:r>
      <w:r w:rsidR="00DF6E3F" w:rsidRPr="00B23414">
        <w:rPr>
          <w:lang w:val="en-US"/>
        </w:rPr>
        <w:t xml:space="preserve"> was agreed in RAN1#92bis that </w:t>
      </w:r>
      <w:r w:rsidR="00961A13">
        <w:rPr>
          <w:lang w:val="en-US"/>
        </w:rPr>
        <w:t>“</w:t>
      </w:r>
      <w:r w:rsidR="00DF6E3F" w:rsidRPr="006960DC">
        <w:rPr>
          <w:i/>
          <w:lang w:val="en-US"/>
        </w:rPr>
        <w:t>NR-U supports both Type-A and Type-B mapping</w:t>
      </w:r>
      <w:r w:rsidR="00961A13">
        <w:rPr>
          <w:lang w:val="en-US"/>
        </w:rPr>
        <w:t>”</w:t>
      </w:r>
      <w:r w:rsidR="00DF6E3F" w:rsidRPr="00B94C49">
        <w:rPr>
          <w:lang w:val="en-US"/>
        </w:rPr>
        <w:t xml:space="preserve">. </w:t>
      </w:r>
      <w:r w:rsidR="00490631">
        <w:rPr>
          <w:lang w:val="en-US"/>
        </w:rPr>
        <w:t>Type-B mapping (a.k.a. non-slot based scheduling</w:t>
      </w:r>
      <w:r w:rsidR="00E65041">
        <w:rPr>
          <w:lang w:val="en-US"/>
        </w:rPr>
        <w:t xml:space="preserve"> with</w:t>
      </w:r>
      <w:r w:rsidR="00A41E89">
        <w:rPr>
          <w:lang w:val="en-US"/>
        </w:rPr>
        <w:t xml:space="preserve"> </w:t>
      </w:r>
      <w:r w:rsidR="00E65041">
        <w:rPr>
          <w:lang w:val="en-US"/>
        </w:rPr>
        <w:t>DMRS</w:t>
      </w:r>
      <w:r w:rsidR="00A41E89">
        <w:rPr>
          <w:lang w:val="en-US"/>
        </w:rPr>
        <w:t xml:space="preserve"> in the first symbols of PxSCH</w:t>
      </w:r>
      <w:r w:rsidR="00490631">
        <w:rPr>
          <w:lang w:val="en-US"/>
        </w:rPr>
        <w:t>) allows</w:t>
      </w:r>
      <w:r w:rsidR="00A41E89">
        <w:rPr>
          <w:lang w:val="en-US"/>
        </w:rPr>
        <w:t xml:space="preserve"> flexible starting position in a slot and can</w:t>
      </w:r>
      <w:r w:rsidR="00490631">
        <w:rPr>
          <w:lang w:val="en-US"/>
        </w:rPr>
        <w:t xml:space="preserve"> </w:t>
      </w:r>
      <w:r w:rsidR="00490631" w:rsidRPr="006960DC">
        <w:rPr>
          <w:rFonts w:eastAsia="MS Mincho"/>
          <w:lang w:eastAsia="ja-JP"/>
        </w:rPr>
        <w:t>reduce the time between the possible consecutive transmission starting positions</w:t>
      </w:r>
      <w:r w:rsidR="00490631">
        <w:rPr>
          <w:rFonts w:eastAsia="MS Mincho"/>
          <w:lang w:eastAsia="ja-JP"/>
        </w:rPr>
        <w:t>. Type-A mapping</w:t>
      </w:r>
      <w:r w:rsidR="00A41E89">
        <w:rPr>
          <w:rFonts w:eastAsia="MS Mincho"/>
          <w:lang w:eastAsia="ja-JP"/>
        </w:rPr>
        <w:t>, unlike TYPE-B,</w:t>
      </w:r>
      <w:r w:rsidR="00490631">
        <w:rPr>
          <w:rFonts w:eastAsia="MS Mincho"/>
          <w:lang w:eastAsia="ja-JP"/>
        </w:rPr>
        <w:t xml:space="preserve"> supports </w:t>
      </w:r>
      <w:r w:rsidR="00A41E89">
        <w:rPr>
          <w:rFonts w:eastAsia="MS Mincho"/>
          <w:lang w:eastAsia="ja-JP"/>
        </w:rPr>
        <w:t xml:space="preserve">more </w:t>
      </w:r>
      <w:r w:rsidR="00490631">
        <w:rPr>
          <w:rFonts w:eastAsia="MS Mincho"/>
          <w:lang w:eastAsia="ja-JP"/>
        </w:rPr>
        <w:t xml:space="preserve">flexible PDSCH/PUSCH </w:t>
      </w:r>
      <w:r w:rsidR="00A41E89">
        <w:rPr>
          <w:rFonts w:eastAsia="MS Mincho"/>
          <w:lang w:eastAsia="ja-JP"/>
        </w:rPr>
        <w:t>time-domain</w:t>
      </w:r>
      <w:r w:rsidR="00490631">
        <w:rPr>
          <w:rFonts w:eastAsia="MS Mincho"/>
          <w:lang w:eastAsia="ja-JP"/>
        </w:rPr>
        <w:t xml:space="preserve"> </w:t>
      </w:r>
      <w:r w:rsidR="00A41E89">
        <w:rPr>
          <w:rFonts w:eastAsia="MS Mincho"/>
          <w:lang w:eastAsia="ja-JP"/>
        </w:rPr>
        <w:t xml:space="preserve">resource </w:t>
      </w:r>
      <w:r w:rsidR="00490631">
        <w:rPr>
          <w:rFonts w:eastAsia="MS Mincho"/>
          <w:lang w:eastAsia="ja-JP"/>
        </w:rPr>
        <w:t>allocation</w:t>
      </w:r>
      <w:r w:rsidR="00A41E89">
        <w:rPr>
          <w:rFonts w:eastAsia="MS Mincho"/>
          <w:lang w:eastAsia="ja-JP"/>
        </w:rPr>
        <w:t>s</w:t>
      </w:r>
      <w:r w:rsidR="00C37D8B">
        <w:rPr>
          <w:rFonts w:eastAsia="MS Mincho"/>
          <w:lang w:eastAsia="ja-JP"/>
        </w:rPr>
        <w:t>. Hence it can provide</w:t>
      </w:r>
      <w:r w:rsidR="00490631">
        <w:rPr>
          <w:rFonts w:eastAsia="MS Mincho"/>
          <w:lang w:eastAsia="ja-JP"/>
        </w:rPr>
        <w:t xml:space="preserve"> flexible ending symbol for the </w:t>
      </w:r>
      <w:r w:rsidR="00961A13">
        <w:rPr>
          <w:rFonts w:eastAsia="MS Mincho"/>
          <w:lang w:eastAsia="ja-JP"/>
        </w:rPr>
        <w:t>TxOP</w:t>
      </w:r>
      <w:r w:rsidR="00490631">
        <w:rPr>
          <w:rFonts w:eastAsia="MS Mincho"/>
          <w:lang w:eastAsia="ja-JP"/>
        </w:rPr>
        <w:t xml:space="preserve">. </w:t>
      </w:r>
    </w:p>
    <w:p w14:paraId="48267C25" w14:textId="77777777" w:rsidR="006611B8" w:rsidRDefault="006611B8" w:rsidP="006960DC">
      <w:pPr>
        <w:widowControl w:val="0"/>
        <w:overflowPunct/>
        <w:autoSpaceDE/>
        <w:autoSpaceDN/>
        <w:adjustRightInd/>
        <w:spacing w:after="0"/>
        <w:jc w:val="both"/>
        <w:textAlignment w:val="auto"/>
        <w:rPr>
          <w:lang w:val="en-US"/>
        </w:rPr>
      </w:pPr>
    </w:p>
    <w:p w14:paraId="0D7466DF" w14:textId="04810525" w:rsidR="00B27044" w:rsidRDefault="00C37D8B" w:rsidP="006960DC">
      <w:pPr>
        <w:widowControl w:val="0"/>
        <w:overflowPunct/>
        <w:autoSpaceDE/>
        <w:autoSpaceDN/>
        <w:adjustRightInd/>
        <w:spacing w:after="0"/>
        <w:jc w:val="both"/>
        <w:textAlignment w:val="auto"/>
      </w:pPr>
      <w:r w:rsidRPr="00C37D8B">
        <w:t xml:space="preserve">Generally speaking, NR </w:t>
      </w:r>
      <w:r>
        <w:t>frame structure defined for licensed spectrum scenario</w:t>
      </w:r>
      <w:r w:rsidR="000714D7">
        <w:t>s</w:t>
      </w:r>
      <w:r>
        <w:t xml:space="preserve"> provides</w:t>
      </w:r>
      <w:r w:rsidRPr="00C37D8B">
        <w:t xml:space="preserve"> a very good</w:t>
      </w:r>
      <w:r>
        <w:t xml:space="preserve"> baseline </w:t>
      </w:r>
      <w:r w:rsidR="000714D7">
        <w:t xml:space="preserve">from </w:t>
      </w:r>
      <w:r>
        <w:t>NR-U</w:t>
      </w:r>
      <w:r w:rsidR="000714D7">
        <w:t xml:space="preserve"> point of view,</w:t>
      </w:r>
      <w:r w:rsidR="002341C3">
        <w:t xml:space="preserve"> and only minor</w:t>
      </w:r>
      <w:r w:rsidR="00B27044">
        <w:t xml:space="preserve"> changes to the slot formats compared to licensed band operation</w:t>
      </w:r>
      <w:r w:rsidR="002341C3">
        <w:t xml:space="preserve"> are foreseen</w:t>
      </w:r>
      <w:r w:rsidR="00B27044">
        <w:t xml:space="preserve">. </w:t>
      </w:r>
      <w:r w:rsidR="00A41E89">
        <w:t>For</w:t>
      </w:r>
      <w:r w:rsidR="002341C3">
        <w:t xml:space="preserve"> example</w:t>
      </w:r>
      <w:r w:rsidR="00A41E89">
        <w:t>, NR-U</w:t>
      </w:r>
      <w:r w:rsidR="002341C3">
        <w:t xml:space="preserve"> </w:t>
      </w:r>
      <w:r w:rsidR="00B27044" w:rsidRPr="00C8617E">
        <w:t xml:space="preserve">should </w:t>
      </w:r>
      <w:r w:rsidR="00A41E89">
        <w:t>introduce a possibility</w:t>
      </w:r>
      <w:r w:rsidR="00B27044" w:rsidRPr="00C8617E">
        <w:t xml:space="preserve"> to have short PUCCH at the beginning of UL portion </w:t>
      </w:r>
      <w:r w:rsidR="002341C3">
        <w:t xml:space="preserve">of the COT </w:t>
      </w:r>
      <w:r w:rsidR="00B27044" w:rsidRPr="00C8617E">
        <w:t>in the case of UL-only or bi-directional UL slots.</w:t>
      </w:r>
    </w:p>
    <w:p w14:paraId="77F3E7B0" w14:textId="683BA4D1" w:rsidR="00B27044" w:rsidRPr="006960DC" w:rsidRDefault="00B27044" w:rsidP="006960DC">
      <w:pPr>
        <w:widowControl w:val="0"/>
        <w:overflowPunct/>
        <w:autoSpaceDE/>
        <w:autoSpaceDN/>
        <w:adjustRightInd/>
        <w:spacing w:after="0"/>
        <w:jc w:val="center"/>
        <w:textAlignment w:val="auto"/>
        <w:rPr>
          <w:b/>
          <w:lang w:eastAsia="x-none"/>
        </w:rPr>
      </w:pPr>
    </w:p>
    <w:p w14:paraId="1D29C009" w14:textId="3C3733D9" w:rsidR="00A33F9C" w:rsidRDefault="00A33F9C" w:rsidP="00A33F9C">
      <w:pPr>
        <w:spacing w:after="0"/>
        <w:jc w:val="both"/>
        <w:rPr>
          <w:i/>
          <w:lang w:val="en-US" w:eastAsia="x-none"/>
        </w:rPr>
      </w:pPr>
      <w:r w:rsidRPr="002C0588">
        <w:rPr>
          <w:b/>
          <w:lang w:val="en-US" w:eastAsia="x-none"/>
        </w:rPr>
        <w:t xml:space="preserve">Proposal </w:t>
      </w:r>
      <w:r w:rsidR="0066025B">
        <w:rPr>
          <w:b/>
          <w:lang w:val="en-US" w:eastAsia="x-none"/>
        </w:rPr>
        <w:t>6</w:t>
      </w:r>
      <w:r w:rsidRPr="00953AB0">
        <w:rPr>
          <w:b/>
          <w:i/>
          <w:lang w:val="en-US" w:eastAsia="x-none"/>
        </w:rPr>
        <w:t xml:space="preserve">: </w:t>
      </w:r>
      <w:r w:rsidRPr="00EF58AE">
        <w:rPr>
          <w:i/>
          <w:lang w:val="en-US" w:eastAsia="x-none"/>
        </w:rPr>
        <w:t xml:space="preserve">NR Unlicensed band operation can be based on fixed frame timing and </w:t>
      </w:r>
      <w:r w:rsidR="006611B8">
        <w:rPr>
          <w:i/>
          <w:lang w:val="en-US" w:eastAsia="x-none"/>
        </w:rPr>
        <w:t>slot formats</w:t>
      </w:r>
      <w:r w:rsidRPr="00EF58AE">
        <w:rPr>
          <w:i/>
          <w:lang w:val="en-US" w:eastAsia="x-none"/>
        </w:rPr>
        <w:t xml:space="preserve"> defined in </w:t>
      </w:r>
      <w:r>
        <w:rPr>
          <w:i/>
          <w:lang w:val="en-US" w:eastAsia="x-none"/>
        </w:rPr>
        <w:t>NR Rel-15.</w:t>
      </w:r>
    </w:p>
    <w:p w14:paraId="7D03D385" w14:textId="48802C97" w:rsidR="00A33F9C" w:rsidRDefault="00A33F9C" w:rsidP="00A33F9C">
      <w:pPr>
        <w:spacing w:after="0"/>
        <w:jc w:val="both"/>
        <w:rPr>
          <w:i/>
          <w:lang w:val="en-US" w:eastAsia="x-none"/>
        </w:rPr>
      </w:pPr>
      <w:r w:rsidRPr="002C0588">
        <w:rPr>
          <w:b/>
          <w:lang w:val="en-US" w:eastAsia="x-none"/>
        </w:rPr>
        <w:t xml:space="preserve">Proposal </w:t>
      </w:r>
      <w:r w:rsidR="0066025B">
        <w:rPr>
          <w:b/>
          <w:lang w:val="en-US" w:eastAsia="x-none"/>
        </w:rPr>
        <w:t>7</w:t>
      </w:r>
      <w:r w:rsidRPr="00953AB0">
        <w:rPr>
          <w:b/>
          <w:i/>
          <w:lang w:val="en-US" w:eastAsia="x-none"/>
        </w:rPr>
        <w:t xml:space="preserve">: </w:t>
      </w:r>
      <w:r w:rsidR="006611B8">
        <w:rPr>
          <w:i/>
          <w:lang w:val="en-US" w:eastAsia="x-none"/>
        </w:rPr>
        <w:t>NR-U operation should support sh</w:t>
      </w:r>
      <w:r>
        <w:rPr>
          <w:i/>
          <w:lang w:val="en-US" w:eastAsia="x-none"/>
        </w:rPr>
        <w:t>ort PUCCH</w:t>
      </w:r>
      <w:r w:rsidR="006611B8">
        <w:rPr>
          <w:i/>
          <w:lang w:val="en-US" w:eastAsia="x-none"/>
        </w:rPr>
        <w:t xml:space="preserve"> located</w:t>
      </w:r>
      <w:r>
        <w:rPr>
          <w:i/>
          <w:lang w:val="en-US" w:eastAsia="x-none"/>
        </w:rPr>
        <w:t xml:space="preserve"> at the beginning of </w:t>
      </w:r>
      <w:r w:rsidR="006611B8">
        <w:rPr>
          <w:i/>
          <w:lang w:val="en-US" w:eastAsia="x-none"/>
        </w:rPr>
        <w:t xml:space="preserve">the </w:t>
      </w:r>
      <w:r>
        <w:rPr>
          <w:i/>
          <w:lang w:val="en-US" w:eastAsia="x-none"/>
        </w:rPr>
        <w:t>UL portion</w:t>
      </w:r>
      <w:r w:rsidR="006611B8">
        <w:rPr>
          <w:i/>
          <w:lang w:val="en-US" w:eastAsia="x-none"/>
        </w:rPr>
        <w:t xml:space="preserve"> of the COT.</w:t>
      </w:r>
    </w:p>
    <w:p w14:paraId="6F2058DD" w14:textId="66960219" w:rsidR="006611B8" w:rsidRDefault="006611B8" w:rsidP="006611B8">
      <w:pPr>
        <w:spacing w:after="0"/>
        <w:jc w:val="both"/>
        <w:rPr>
          <w:i/>
          <w:lang w:val="en-US" w:eastAsia="x-none"/>
        </w:rPr>
      </w:pPr>
      <w:r>
        <w:rPr>
          <w:b/>
          <w:lang w:val="en-US" w:eastAsia="x-none"/>
        </w:rPr>
        <w:t xml:space="preserve">Proposal </w:t>
      </w:r>
      <w:r w:rsidR="0066025B">
        <w:rPr>
          <w:b/>
          <w:lang w:val="en-US" w:eastAsia="x-none"/>
        </w:rPr>
        <w:t>8</w:t>
      </w:r>
      <w:r w:rsidRPr="00953AB0">
        <w:rPr>
          <w:b/>
          <w:i/>
          <w:lang w:val="en-US" w:eastAsia="x-none"/>
        </w:rPr>
        <w:t xml:space="preserve">: </w:t>
      </w:r>
      <w:r>
        <w:rPr>
          <w:i/>
          <w:lang w:val="en-US" w:eastAsia="x-none"/>
        </w:rPr>
        <w:t>Study LBT options for the case with multiple switching points within a TxOP</w:t>
      </w:r>
      <w:r w:rsidR="000714D7">
        <w:rPr>
          <w:i/>
          <w:lang w:val="en-US" w:eastAsia="x-none"/>
        </w:rPr>
        <w:t>.</w:t>
      </w:r>
      <w:r>
        <w:rPr>
          <w:i/>
          <w:lang w:val="en-US" w:eastAsia="x-none"/>
        </w:rPr>
        <w:t xml:space="preserve"> </w:t>
      </w:r>
    </w:p>
    <w:p w14:paraId="28AAFA35" w14:textId="4EF0F53A" w:rsidR="004D08ED" w:rsidRDefault="004D08ED" w:rsidP="00BC4958">
      <w:pPr>
        <w:spacing w:after="120"/>
        <w:jc w:val="both"/>
      </w:pPr>
    </w:p>
    <w:p w14:paraId="313D44B0" w14:textId="29257D3F" w:rsidR="00866746" w:rsidRPr="006276B8" w:rsidRDefault="00866746" w:rsidP="00866746">
      <w:pPr>
        <w:pStyle w:val="Heading2"/>
        <w:rPr>
          <w:sz w:val="28"/>
        </w:rPr>
      </w:pPr>
      <w:r>
        <w:rPr>
          <w:sz w:val="28"/>
          <w:lang w:eastAsia="zh-CN"/>
        </w:rPr>
        <w:t>3</w:t>
      </w:r>
      <w:r w:rsidRPr="006276B8">
        <w:rPr>
          <w:sz w:val="28"/>
        </w:rPr>
        <w:t>.</w:t>
      </w:r>
      <w:r>
        <w:rPr>
          <w:sz w:val="28"/>
          <w:lang w:eastAsia="zh-CN"/>
        </w:rPr>
        <w:t>2</w:t>
      </w:r>
      <w:r w:rsidRPr="006276B8">
        <w:rPr>
          <w:sz w:val="28"/>
        </w:rPr>
        <w:tab/>
      </w:r>
      <w:r>
        <w:rPr>
          <w:sz w:val="28"/>
        </w:rPr>
        <w:t>Mini-slot based operation</w:t>
      </w:r>
    </w:p>
    <w:p w14:paraId="173543F1" w14:textId="77777777" w:rsidR="00012C42" w:rsidRDefault="00BC4958" w:rsidP="00E3197F">
      <w:pPr>
        <w:widowControl w:val="0"/>
        <w:overflowPunct/>
        <w:autoSpaceDE/>
        <w:autoSpaceDN/>
        <w:adjustRightInd/>
        <w:spacing w:after="0"/>
        <w:jc w:val="both"/>
        <w:textAlignment w:val="auto"/>
        <w:rPr>
          <w:rFonts w:eastAsia="MS Mincho"/>
          <w:lang w:eastAsia="ja-JP"/>
        </w:rPr>
      </w:pPr>
      <w:r>
        <w:rPr>
          <w:rFonts w:eastAsia="MS Mincho"/>
          <w:lang w:eastAsia="ja-JP"/>
        </w:rPr>
        <w:t>When NR is applied on unlicensed band</w:t>
      </w:r>
      <w:r w:rsidR="001F6DA3">
        <w:rPr>
          <w:rFonts w:eastAsia="MS Mincho"/>
          <w:lang w:eastAsia="ja-JP"/>
        </w:rPr>
        <w:t>s</w:t>
      </w:r>
      <w:r>
        <w:rPr>
          <w:rFonts w:eastAsia="MS Mincho"/>
          <w:lang w:eastAsia="ja-JP"/>
        </w:rPr>
        <w:t xml:space="preserve"> requiring contention based channel access procedure, it is beneficial that gNB or UE can swiftly occupy channel once the channel access procedure indicates the channel to be vacant. If gNB or UE waits for too long in self-deferral to align transmissions with slot boundary, more agile systems may occupy the channel in the meanwhile. </w:t>
      </w:r>
    </w:p>
    <w:p w14:paraId="456E4B51" w14:textId="77777777" w:rsidR="00012C42" w:rsidRDefault="00012C42" w:rsidP="00E3197F">
      <w:pPr>
        <w:widowControl w:val="0"/>
        <w:overflowPunct/>
        <w:autoSpaceDE/>
        <w:autoSpaceDN/>
        <w:adjustRightInd/>
        <w:spacing w:after="0"/>
        <w:jc w:val="both"/>
        <w:textAlignment w:val="auto"/>
        <w:rPr>
          <w:rFonts w:eastAsia="MS Mincho"/>
          <w:lang w:eastAsia="ja-JP"/>
        </w:rPr>
      </w:pPr>
    </w:p>
    <w:p w14:paraId="2BA337C5" w14:textId="6472CB9C" w:rsidR="00747640" w:rsidRPr="00E3197F" w:rsidRDefault="00A740E3" w:rsidP="006960DC">
      <w:pPr>
        <w:widowControl w:val="0"/>
        <w:overflowPunct/>
        <w:autoSpaceDE/>
        <w:autoSpaceDN/>
        <w:adjustRightInd/>
        <w:spacing w:after="0"/>
        <w:jc w:val="both"/>
        <w:textAlignment w:val="auto"/>
        <w:rPr>
          <w:rFonts w:eastAsia="MS Mincho"/>
          <w:lang w:eastAsia="ja-JP"/>
        </w:rPr>
      </w:pPr>
      <w:r>
        <w:rPr>
          <w:rFonts w:eastAsia="MS Mincho"/>
          <w:lang w:eastAsia="ja-JP"/>
        </w:rPr>
        <w:t xml:space="preserve">It </w:t>
      </w:r>
      <w:r w:rsidR="00B94C49">
        <w:rPr>
          <w:lang w:val="en-US"/>
        </w:rPr>
        <w:t>was agreed in RAN1#92bis that “</w:t>
      </w:r>
      <w:r w:rsidR="00B94C49" w:rsidRPr="001E2EFA">
        <w:rPr>
          <w:i/>
          <w:lang w:val="en-US"/>
        </w:rPr>
        <w:t>NR-U supports both Type-A and Type-B mapping</w:t>
      </w:r>
      <w:r w:rsidR="00B94C49">
        <w:rPr>
          <w:lang w:val="en-US"/>
        </w:rPr>
        <w:t>, and “</w:t>
      </w:r>
      <w:r w:rsidR="00B94C49" w:rsidRPr="001E2EFA">
        <w:rPr>
          <w:i/>
          <w:lang w:val="en-US"/>
        </w:rPr>
        <w:t>Additional starting positions and durations are not precluded</w:t>
      </w:r>
      <w:r w:rsidR="00B94C49">
        <w:rPr>
          <w:lang w:val="en-US"/>
        </w:rPr>
        <w:t xml:space="preserve">”. </w:t>
      </w:r>
      <w:r w:rsidR="00012C42">
        <w:rPr>
          <w:lang w:val="en-US"/>
        </w:rPr>
        <w:t>M</w:t>
      </w:r>
      <w:r w:rsidR="00747640">
        <w:rPr>
          <w:rFonts w:eastAsia="MS Mincho"/>
          <w:lang w:eastAsia="ja-JP"/>
        </w:rPr>
        <w:t xml:space="preserve">ini-slots represent an efficient way to reduce the time between the possible consecutive transmission starting positions. However, more frequent transmission starting positions increase DL control channel blind decoding burden on the UE side and a reasonable trade-off between the DL control channel decoding burden and frequency of transmission starting positions is needed. </w:t>
      </w:r>
      <w:r w:rsidR="0077580E">
        <w:rPr>
          <w:rFonts w:eastAsia="MS Mincho"/>
          <w:lang w:eastAsia="ja-JP"/>
        </w:rPr>
        <w:t>Figure 2 illustrates one example:</w:t>
      </w:r>
    </w:p>
    <w:p w14:paraId="4FADBD30" w14:textId="1586B2B1" w:rsidR="0077580E" w:rsidRPr="006960DC" w:rsidRDefault="00A740E3" w:rsidP="006960DC">
      <w:pPr>
        <w:pStyle w:val="ListParagraph"/>
        <w:numPr>
          <w:ilvl w:val="0"/>
          <w:numId w:val="49"/>
        </w:numPr>
        <w:jc w:val="both"/>
        <w:rPr>
          <w:rFonts w:eastAsia="MS Mincho"/>
          <w:lang w:val="en-US" w:eastAsia="ja-JP"/>
        </w:rPr>
      </w:pPr>
      <w:r w:rsidRPr="006960DC">
        <w:rPr>
          <w:rFonts w:eastAsia="MS Mincho"/>
          <w:sz w:val="20"/>
          <w:lang w:val="en-US" w:eastAsia="ja-JP"/>
        </w:rPr>
        <w:t xml:space="preserve">UE is configured with PDCCH monitoring </w:t>
      </w:r>
      <w:r w:rsidR="00D21A81" w:rsidRPr="006960DC">
        <w:rPr>
          <w:rFonts w:eastAsia="MS Mincho"/>
          <w:sz w:val="20"/>
          <w:lang w:val="en-US" w:eastAsia="ja-JP"/>
        </w:rPr>
        <w:t>periodicity of 2 OFDM symbols</w:t>
      </w:r>
    </w:p>
    <w:p w14:paraId="3A5CD45E" w14:textId="5F4FDA35" w:rsidR="00A740E3" w:rsidRPr="006960DC" w:rsidRDefault="00D21A81" w:rsidP="006960DC">
      <w:pPr>
        <w:pStyle w:val="ListParagraph"/>
        <w:numPr>
          <w:ilvl w:val="0"/>
          <w:numId w:val="49"/>
        </w:numPr>
        <w:jc w:val="both"/>
        <w:rPr>
          <w:rFonts w:eastAsia="MS Mincho"/>
          <w:lang w:val="en-US" w:eastAsia="ja-JP"/>
        </w:rPr>
      </w:pPr>
      <w:r w:rsidRPr="006960DC">
        <w:rPr>
          <w:rFonts w:eastAsia="MS Mincho"/>
          <w:sz w:val="20"/>
          <w:lang w:val="en-US" w:eastAsia="ja-JP"/>
        </w:rPr>
        <w:t xml:space="preserve">The first mini-slots </w:t>
      </w:r>
      <w:r w:rsidR="00941880">
        <w:rPr>
          <w:rFonts w:eastAsia="MS Mincho"/>
          <w:sz w:val="20"/>
          <w:lang w:val="en-US" w:eastAsia="ja-JP"/>
        </w:rPr>
        <w:t>are</w:t>
      </w:r>
      <w:r w:rsidRPr="006960DC">
        <w:rPr>
          <w:rFonts w:eastAsia="MS Mincho"/>
          <w:sz w:val="20"/>
          <w:lang w:val="en-US" w:eastAsia="ja-JP"/>
        </w:rPr>
        <w:t xml:space="preserve"> used for aligning </w:t>
      </w:r>
      <w:r w:rsidR="00B7113A" w:rsidRPr="006960DC">
        <w:rPr>
          <w:rFonts w:eastAsia="MS Mincho"/>
          <w:sz w:val="20"/>
          <w:lang w:val="en-US" w:eastAsia="ja-JP"/>
        </w:rPr>
        <w:t>the</w:t>
      </w:r>
      <w:r w:rsidRPr="006960DC">
        <w:rPr>
          <w:rFonts w:eastAsia="MS Mincho"/>
          <w:sz w:val="20"/>
          <w:lang w:val="en-US" w:eastAsia="ja-JP"/>
        </w:rPr>
        <w:t xml:space="preserve"> ending position</w:t>
      </w:r>
      <w:r w:rsidR="00B7113A" w:rsidRPr="006960DC">
        <w:rPr>
          <w:rFonts w:eastAsia="MS Mincho"/>
          <w:sz w:val="20"/>
          <w:lang w:val="en-US" w:eastAsia="ja-JP"/>
        </w:rPr>
        <w:t xml:space="preserve"> of the first transmission(s)</w:t>
      </w:r>
      <w:r w:rsidRPr="006960DC">
        <w:rPr>
          <w:rFonts w:eastAsia="MS Mincho"/>
          <w:sz w:val="20"/>
          <w:lang w:val="en-US" w:eastAsia="ja-JP"/>
        </w:rPr>
        <w:t xml:space="preserve"> with the slot boundary</w:t>
      </w:r>
    </w:p>
    <w:p w14:paraId="24A1C82B" w14:textId="762F21E9" w:rsidR="00D21A81" w:rsidRPr="006960DC" w:rsidRDefault="00D21A81" w:rsidP="006960DC">
      <w:pPr>
        <w:pStyle w:val="ListParagraph"/>
        <w:numPr>
          <w:ilvl w:val="0"/>
          <w:numId w:val="49"/>
        </w:numPr>
        <w:jc w:val="both"/>
        <w:rPr>
          <w:rFonts w:eastAsia="MS Mincho"/>
          <w:lang w:val="en-US" w:eastAsia="ja-JP"/>
        </w:rPr>
      </w:pPr>
      <w:r w:rsidRPr="006960DC">
        <w:rPr>
          <w:rFonts w:eastAsia="MS Mincho"/>
          <w:sz w:val="20"/>
          <w:lang w:val="en-US" w:eastAsia="ja-JP"/>
        </w:rPr>
        <w:t xml:space="preserve">After </w:t>
      </w:r>
      <w:r w:rsidR="00941880">
        <w:rPr>
          <w:rFonts w:eastAsia="MS Mincho"/>
          <w:sz w:val="20"/>
          <w:lang w:val="en-US" w:eastAsia="ja-JP"/>
        </w:rPr>
        <w:t xml:space="preserve">the </w:t>
      </w:r>
      <w:r w:rsidRPr="006960DC">
        <w:rPr>
          <w:rFonts w:eastAsia="MS Mincho"/>
          <w:sz w:val="20"/>
          <w:lang w:val="en-US" w:eastAsia="ja-JP"/>
        </w:rPr>
        <w:t>first mini-slots the UE continues PDCCH monitoring using periodicity of one slot.</w:t>
      </w:r>
    </w:p>
    <w:p w14:paraId="2F9F3A1D" w14:textId="563A3EB7" w:rsidR="00747640" w:rsidRDefault="00747640" w:rsidP="00747640">
      <w:pPr>
        <w:overflowPunct/>
        <w:autoSpaceDE/>
        <w:autoSpaceDN/>
        <w:adjustRightInd/>
        <w:spacing w:after="0"/>
        <w:jc w:val="both"/>
        <w:textAlignment w:val="auto"/>
        <w:rPr>
          <w:rFonts w:eastAsia="MS Mincho"/>
          <w:lang w:eastAsia="ja-JP"/>
        </w:rPr>
      </w:pPr>
    </w:p>
    <w:p w14:paraId="6AD2AC7F" w14:textId="77777777" w:rsidR="00DC2917" w:rsidRDefault="00DC2917" w:rsidP="00DC2917">
      <w:pPr>
        <w:widowControl w:val="0"/>
        <w:overflowPunct/>
        <w:autoSpaceDE/>
        <w:autoSpaceDN/>
        <w:adjustRightInd/>
        <w:spacing w:after="0"/>
        <w:jc w:val="both"/>
        <w:textAlignment w:val="auto"/>
        <w:rPr>
          <w:lang w:val="en-US"/>
        </w:rPr>
      </w:pPr>
      <w:r>
        <w:rPr>
          <w:lang w:val="en-US"/>
        </w:rPr>
        <w:t>This approach has several benefits:</w:t>
      </w:r>
    </w:p>
    <w:p w14:paraId="2F307CFF" w14:textId="66CDB823" w:rsidR="00DC2917" w:rsidRPr="006960DC" w:rsidRDefault="00DC2917" w:rsidP="006960DC">
      <w:pPr>
        <w:pStyle w:val="ListParagraph"/>
        <w:widowControl w:val="0"/>
        <w:numPr>
          <w:ilvl w:val="0"/>
          <w:numId w:val="47"/>
        </w:numPr>
        <w:jc w:val="both"/>
        <w:rPr>
          <w:sz w:val="20"/>
          <w:szCs w:val="20"/>
          <w:lang w:val="en-US"/>
        </w:rPr>
      </w:pPr>
      <w:r w:rsidRPr="006960DC">
        <w:rPr>
          <w:sz w:val="20"/>
          <w:szCs w:val="20"/>
          <w:lang w:val="en-US"/>
        </w:rPr>
        <w:t>UE power saving: unnecessary PDCCH monitoring with a high periodicity (such as 2 OFDM symbols) can be avoided</w:t>
      </w:r>
      <w:r w:rsidR="00FF5615">
        <w:rPr>
          <w:sz w:val="20"/>
          <w:szCs w:val="20"/>
          <w:lang w:val="en-US"/>
        </w:rPr>
        <w:t xml:space="preserve"> within the COT</w:t>
      </w:r>
    </w:p>
    <w:p w14:paraId="72381C06" w14:textId="33D25DC3" w:rsidR="00DC2917" w:rsidRPr="006960DC" w:rsidRDefault="00DC2917" w:rsidP="006960DC">
      <w:pPr>
        <w:pStyle w:val="ListParagraph"/>
        <w:widowControl w:val="0"/>
        <w:numPr>
          <w:ilvl w:val="0"/>
          <w:numId w:val="47"/>
        </w:numPr>
        <w:jc w:val="both"/>
        <w:rPr>
          <w:sz w:val="20"/>
          <w:szCs w:val="20"/>
          <w:lang w:val="en-US"/>
        </w:rPr>
      </w:pPr>
      <w:r w:rsidRPr="006960DC">
        <w:rPr>
          <w:sz w:val="20"/>
          <w:szCs w:val="20"/>
          <w:lang w:val="en-US"/>
        </w:rPr>
        <w:t>Reduced control channel and DMRS overhead (unnecessary mini-slot based PDCCH, HARQ-ACK and DMRS overhead is avoided) without compromising fast channel access</w:t>
      </w:r>
      <w:r w:rsidR="00012C42">
        <w:rPr>
          <w:sz w:val="20"/>
          <w:szCs w:val="20"/>
          <w:lang w:val="en-US"/>
        </w:rPr>
        <w:t>.</w:t>
      </w:r>
      <w:r w:rsidRPr="006960DC">
        <w:rPr>
          <w:sz w:val="20"/>
          <w:szCs w:val="20"/>
          <w:lang w:val="en-US"/>
        </w:rPr>
        <w:t xml:space="preserve"> </w:t>
      </w:r>
    </w:p>
    <w:p w14:paraId="6D9806C4" w14:textId="2863C979" w:rsidR="00DC2917" w:rsidRPr="006960DC" w:rsidRDefault="00DC2917" w:rsidP="006960DC">
      <w:pPr>
        <w:pStyle w:val="ListParagraph"/>
        <w:widowControl w:val="0"/>
        <w:numPr>
          <w:ilvl w:val="0"/>
          <w:numId w:val="47"/>
        </w:numPr>
        <w:jc w:val="both"/>
        <w:rPr>
          <w:sz w:val="20"/>
          <w:szCs w:val="20"/>
          <w:lang w:val="en-US"/>
        </w:rPr>
      </w:pPr>
      <w:r w:rsidRPr="006960DC">
        <w:rPr>
          <w:sz w:val="20"/>
          <w:szCs w:val="20"/>
          <w:lang w:val="en-US"/>
        </w:rPr>
        <w:t>This approach can facilitate also smooth implementation as gNB can prepare DL transmission in advance w/o knowing the absolute starting timing of the starting time</w:t>
      </w:r>
      <w:r w:rsidR="00012C42">
        <w:rPr>
          <w:sz w:val="20"/>
          <w:szCs w:val="20"/>
          <w:lang w:val="en-US"/>
        </w:rPr>
        <w:t>.</w:t>
      </w:r>
    </w:p>
    <w:p w14:paraId="7C487F51" w14:textId="77777777" w:rsidR="00DC2917" w:rsidRDefault="00DC2917" w:rsidP="00DC2917">
      <w:pPr>
        <w:widowControl w:val="0"/>
        <w:jc w:val="both"/>
        <w:rPr>
          <w:lang w:val="en-US"/>
        </w:rPr>
      </w:pPr>
    </w:p>
    <w:p w14:paraId="044938D8" w14:textId="5B7ACC47" w:rsidR="00DC2917" w:rsidRDefault="00DC2917" w:rsidP="00DC2917">
      <w:pPr>
        <w:spacing w:after="0"/>
        <w:jc w:val="both"/>
        <w:rPr>
          <w:i/>
          <w:lang w:val="en-US" w:eastAsia="x-none"/>
        </w:rPr>
      </w:pPr>
      <w:r>
        <w:rPr>
          <w:b/>
          <w:lang w:val="en-US" w:eastAsia="x-none"/>
        </w:rPr>
        <w:t xml:space="preserve">Proposal </w:t>
      </w:r>
      <w:r w:rsidR="0066025B">
        <w:rPr>
          <w:b/>
          <w:lang w:val="en-US" w:eastAsia="x-none"/>
        </w:rPr>
        <w:t>9</w:t>
      </w:r>
      <w:r w:rsidRPr="00953AB0">
        <w:rPr>
          <w:b/>
          <w:i/>
          <w:lang w:val="en-US" w:eastAsia="x-none"/>
        </w:rPr>
        <w:t>:</w:t>
      </w:r>
      <w:r>
        <w:rPr>
          <w:b/>
          <w:i/>
          <w:lang w:val="en-US" w:eastAsia="x-none"/>
        </w:rPr>
        <w:t xml:space="preserve"> </w:t>
      </w:r>
      <w:r>
        <w:rPr>
          <w:i/>
          <w:lang w:val="en-US" w:eastAsia="x-none"/>
        </w:rPr>
        <w:t>Consider PDCCH monitoring, where non-slot based monitoring is used at the beginning of the COT and slot-based monitoring is used after first mini-slot(s) of the COT</w:t>
      </w:r>
    </w:p>
    <w:p w14:paraId="1384DB03" w14:textId="77777777" w:rsidR="00DC2917" w:rsidRPr="006960DC" w:rsidRDefault="00DC2917" w:rsidP="00747640">
      <w:pPr>
        <w:overflowPunct/>
        <w:autoSpaceDE/>
        <w:autoSpaceDN/>
        <w:adjustRightInd/>
        <w:spacing w:after="0"/>
        <w:jc w:val="both"/>
        <w:textAlignment w:val="auto"/>
        <w:rPr>
          <w:rFonts w:eastAsia="MS Mincho"/>
          <w:lang w:val="en-US" w:eastAsia="ja-JP"/>
        </w:rPr>
      </w:pPr>
    </w:p>
    <w:p w14:paraId="11C89C67" w14:textId="5824D629" w:rsidR="00B94C49" w:rsidRDefault="00B94C49" w:rsidP="00BC4958">
      <w:pPr>
        <w:overflowPunct/>
        <w:autoSpaceDE/>
        <w:autoSpaceDN/>
        <w:adjustRightInd/>
        <w:spacing w:after="0"/>
        <w:jc w:val="both"/>
        <w:textAlignment w:val="auto"/>
        <w:rPr>
          <w:rFonts w:eastAsia="MS Mincho"/>
          <w:lang w:eastAsia="ja-JP"/>
        </w:rPr>
      </w:pPr>
    </w:p>
    <w:p w14:paraId="1838CC52" w14:textId="58568B4B" w:rsidR="00B94C49" w:rsidRDefault="00FB0553" w:rsidP="006960DC">
      <w:pPr>
        <w:overflowPunct/>
        <w:autoSpaceDE/>
        <w:autoSpaceDN/>
        <w:adjustRightInd/>
        <w:spacing w:after="0"/>
        <w:jc w:val="center"/>
        <w:textAlignment w:val="auto"/>
        <w:rPr>
          <w:rFonts w:eastAsia="MS Mincho"/>
          <w:lang w:eastAsia="ja-JP"/>
        </w:rPr>
      </w:pPr>
      <w:r w:rsidRPr="00FB0553">
        <w:rPr>
          <w:noProof/>
        </w:rPr>
        <w:drawing>
          <wp:inline distT="0" distB="0" distL="0" distR="0" wp14:anchorId="0493CEB5" wp14:editId="76166A27">
            <wp:extent cx="5644209" cy="15853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54914" cy="1588393"/>
                    </a:xfrm>
                    <a:prstGeom prst="rect">
                      <a:avLst/>
                    </a:prstGeom>
                    <a:noFill/>
                    <a:ln>
                      <a:noFill/>
                    </a:ln>
                  </pic:spPr>
                </pic:pic>
              </a:graphicData>
            </a:graphic>
          </wp:inline>
        </w:drawing>
      </w:r>
    </w:p>
    <w:p w14:paraId="54F3489D" w14:textId="4A1D2AB4" w:rsidR="00FB0553" w:rsidRDefault="00FB0553" w:rsidP="00FB0553">
      <w:pPr>
        <w:pStyle w:val="Caption"/>
        <w:spacing w:after="0"/>
        <w:jc w:val="center"/>
      </w:pPr>
      <w:r>
        <w:t xml:space="preserve">Figure </w:t>
      </w:r>
      <w:r>
        <w:fldChar w:fldCharType="begin"/>
      </w:r>
      <w:r>
        <w:instrText xml:space="preserve"> SEQ Figure \* ARABIC </w:instrText>
      </w:r>
      <w:r>
        <w:fldChar w:fldCharType="separate"/>
      </w:r>
      <w:r>
        <w:rPr>
          <w:noProof/>
        </w:rPr>
        <w:t>2</w:t>
      </w:r>
      <w:r>
        <w:fldChar w:fldCharType="end"/>
      </w:r>
      <w:r>
        <w:t>. PDCCH monitoring</w:t>
      </w:r>
    </w:p>
    <w:p w14:paraId="6475F3BE" w14:textId="2056A2D1" w:rsidR="00866746" w:rsidRDefault="00866746" w:rsidP="00B94C49">
      <w:pPr>
        <w:widowControl w:val="0"/>
        <w:overflowPunct/>
        <w:autoSpaceDE/>
        <w:autoSpaceDN/>
        <w:adjustRightInd/>
        <w:spacing w:after="0"/>
        <w:jc w:val="both"/>
        <w:textAlignment w:val="auto"/>
        <w:rPr>
          <w:lang w:val="en-US"/>
        </w:rPr>
      </w:pPr>
    </w:p>
    <w:p w14:paraId="577D6421" w14:textId="5BFC21E4" w:rsidR="00E3197F" w:rsidRDefault="00E3197F" w:rsidP="00E3197F">
      <w:r>
        <w:lastRenderedPageBreak/>
        <w:t>When gNB is contending for channel access on unlicensed band, gNB needs to have a mini-slot or a slot ready for transmission, but it does not know when it can access channel and transmit the prepared mini-slot/slot. If mini-slot structure</w:t>
      </w:r>
      <w:r w:rsidR="00B60796">
        <w:t xml:space="preserve"> (including PDCCH)</w:t>
      </w:r>
      <w:r>
        <w:t xml:space="preserve"> depends on the time, e.g. in terms of scrambling or pilot positions/sequence,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w:t>
      </w:r>
      <w:r w:rsidR="004663BB">
        <w:t>COT</w:t>
      </w:r>
      <w:r>
        <w:t>.</w:t>
      </w:r>
    </w:p>
    <w:p w14:paraId="00773BB4" w14:textId="72AD143F" w:rsidR="00E3197F" w:rsidRDefault="00E3197F" w:rsidP="00E3197F">
      <w:pPr>
        <w:spacing w:after="120"/>
        <w:jc w:val="both"/>
        <w:rPr>
          <w:i/>
        </w:rPr>
      </w:pPr>
      <w:r>
        <w:rPr>
          <w:b/>
        </w:rPr>
        <w:t xml:space="preserve">Proposal </w:t>
      </w:r>
      <w:r w:rsidR="0066025B">
        <w:rPr>
          <w:b/>
        </w:rPr>
        <w:t>10</w:t>
      </w:r>
      <w:r>
        <w:t xml:space="preserve">: </w:t>
      </w:r>
      <w:r>
        <w:rPr>
          <w:i/>
        </w:rPr>
        <w:t xml:space="preserve">Possibilities for </w:t>
      </w:r>
      <w:r w:rsidR="00012C42">
        <w:rPr>
          <w:i/>
        </w:rPr>
        <w:t>(</w:t>
      </w:r>
      <w:r>
        <w:rPr>
          <w:i/>
        </w:rPr>
        <w:t>mini-</w:t>
      </w:r>
      <w:r w:rsidR="00012C42">
        <w:rPr>
          <w:i/>
        </w:rPr>
        <w:t>)</w:t>
      </w:r>
      <w:r>
        <w:rPr>
          <w:i/>
        </w:rPr>
        <w:t xml:space="preserve">slot structure independent from time are investigated.  </w:t>
      </w:r>
    </w:p>
    <w:p w14:paraId="76C3FAE7" w14:textId="77777777" w:rsidR="00E3197F" w:rsidRPr="006960DC" w:rsidRDefault="00E3197F" w:rsidP="006960DC">
      <w:pPr>
        <w:widowControl w:val="0"/>
        <w:jc w:val="both"/>
      </w:pPr>
    </w:p>
    <w:p w14:paraId="453A601D" w14:textId="0B25425B" w:rsidR="001F27BD" w:rsidRPr="006960DC" w:rsidRDefault="001F27BD" w:rsidP="006960DC">
      <w:pPr>
        <w:widowControl w:val="0"/>
        <w:jc w:val="both"/>
        <w:rPr>
          <w:b/>
          <w:u w:val="single"/>
        </w:rPr>
      </w:pPr>
      <w:r w:rsidRPr="006960DC">
        <w:rPr>
          <w:b/>
          <w:u w:val="single"/>
        </w:rPr>
        <w:t>Detecting the DL transmission:</w:t>
      </w:r>
    </w:p>
    <w:p w14:paraId="7A4A5CD5" w14:textId="39E9EF68" w:rsidR="00994D4F" w:rsidRDefault="001F27BD" w:rsidP="006960DC">
      <w:pPr>
        <w:widowControl w:val="0"/>
        <w:jc w:val="both"/>
      </w:pPr>
      <w:r>
        <w:t xml:space="preserve">In LTE, there </w:t>
      </w:r>
      <w:r w:rsidR="00410559">
        <w:t>are</w:t>
      </w:r>
      <w:r>
        <w:t xml:space="preserve"> CRS (</w:t>
      </w:r>
      <w:r w:rsidR="00410559">
        <w:t>cell-specific</w:t>
      </w:r>
      <w:r>
        <w:t xml:space="preserve"> reference s</w:t>
      </w:r>
      <w:r w:rsidR="00410559">
        <w:t>ignals</w:t>
      </w:r>
      <w:r>
        <w:t>)</w:t>
      </w:r>
      <w:r w:rsidR="00410559">
        <w:t xml:space="preserve"> present</w:t>
      </w:r>
      <w:r>
        <w:t xml:space="preserve"> in each DL subframe and </w:t>
      </w:r>
      <w:r w:rsidR="00410559">
        <w:t>they</w:t>
      </w:r>
      <w:r>
        <w:t xml:space="preserve"> can be used also for detecting the DL transmission in different LTE LAA scenarios. The CRS </w:t>
      </w:r>
      <w:r w:rsidR="00410559">
        <w:t xml:space="preserve">based </w:t>
      </w:r>
      <w:r>
        <w:t xml:space="preserve">approach cannot be used for NR-U </w:t>
      </w:r>
      <w:r w:rsidR="00994D4F">
        <w:t>simply because</w:t>
      </w:r>
      <w:r>
        <w:t xml:space="preserve"> there </w:t>
      </w:r>
      <w:r w:rsidR="00410559">
        <w:t>are</w:t>
      </w:r>
      <w:r>
        <w:t xml:space="preserve"> no CRS in</w:t>
      </w:r>
      <w:r w:rsidR="00994D4F">
        <w:t xml:space="preserve"> the</w:t>
      </w:r>
      <w:r>
        <w:t xml:space="preserve"> NR.</w:t>
      </w:r>
      <w:r w:rsidR="00994D4F">
        <w:t xml:space="preserve"> </w:t>
      </w:r>
    </w:p>
    <w:p w14:paraId="59E851FC" w14:textId="28867AEE" w:rsidR="00994D4F" w:rsidRDefault="00994D4F" w:rsidP="006960DC">
      <w:pPr>
        <w:widowControl w:val="0"/>
        <w:spacing w:after="0"/>
        <w:jc w:val="both"/>
      </w:pPr>
      <w:r>
        <w:t>There are different options for detecting the DL transmission</w:t>
      </w:r>
      <w:r w:rsidR="008F03E0">
        <w:t xml:space="preserve"> in NR-U</w:t>
      </w:r>
      <w:r>
        <w:t>:</w:t>
      </w:r>
    </w:p>
    <w:p w14:paraId="73E5BFF1" w14:textId="2CC1F78C" w:rsidR="00994D4F" w:rsidRPr="0066025B" w:rsidRDefault="00994D4F" w:rsidP="006960DC">
      <w:pPr>
        <w:pStyle w:val="ListParagraph"/>
        <w:widowControl w:val="0"/>
        <w:numPr>
          <w:ilvl w:val="0"/>
          <w:numId w:val="45"/>
        </w:numPr>
        <w:jc w:val="both"/>
        <w:rPr>
          <w:lang w:val="en-US"/>
        </w:rPr>
      </w:pPr>
      <w:r w:rsidRPr="006960DC">
        <w:rPr>
          <w:sz w:val="20"/>
          <w:szCs w:val="20"/>
          <w:lang w:val="en-US"/>
        </w:rPr>
        <w:t xml:space="preserve">PDCCH </w:t>
      </w:r>
      <w:r w:rsidR="00537DE2">
        <w:rPr>
          <w:sz w:val="20"/>
          <w:szCs w:val="20"/>
          <w:lang w:val="en-US"/>
        </w:rPr>
        <w:t>monitoring</w:t>
      </w:r>
      <w:r w:rsidRPr="006960DC">
        <w:rPr>
          <w:sz w:val="20"/>
          <w:szCs w:val="20"/>
          <w:lang w:val="en-US"/>
        </w:rPr>
        <w:t xml:space="preserve">: it can be assumed that </w:t>
      </w:r>
      <w:r w:rsidR="00222291">
        <w:rPr>
          <w:sz w:val="20"/>
          <w:szCs w:val="20"/>
          <w:lang w:val="en-US"/>
        </w:rPr>
        <w:t xml:space="preserve">monitoring on the full search space </w:t>
      </w:r>
      <w:r w:rsidR="006D6CA7">
        <w:rPr>
          <w:sz w:val="20"/>
          <w:szCs w:val="20"/>
          <w:lang w:val="en-US"/>
        </w:rPr>
        <w:t>/</w:t>
      </w:r>
      <w:r w:rsidR="00222291">
        <w:rPr>
          <w:sz w:val="20"/>
          <w:szCs w:val="20"/>
          <w:lang w:val="en-US"/>
        </w:rPr>
        <w:t xml:space="preserve"> number </w:t>
      </w:r>
      <w:r w:rsidR="006D6CA7">
        <w:rPr>
          <w:sz w:val="20"/>
          <w:szCs w:val="20"/>
          <w:lang w:val="en-US"/>
        </w:rPr>
        <w:t>BDs</w:t>
      </w:r>
      <w:r w:rsidRPr="006960DC">
        <w:rPr>
          <w:sz w:val="20"/>
          <w:szCs w:val="20"/>
          <w:lang w:val="en-US"/>
        </w:rPr>
        <w:t xml:space="preserve"> is not possible at least in the cases when</w:t>
      </w:r>
      <w:r>
        <w:rPr>
          <w:sz w:val="20"/>
          <w:szCs w:val="20"/>
          <w:lang w:val="en-US"/>
        </w:rPr>
        <w:t xml:space="preserve"> there are multiple starting positions/slot</w:t>
      </w:r>
      <w:r w:rsidR="00961A13">
        <w:rPr>
          <w:sz w:val="20"/>
          <w:szCs w:val="20"/>
          <w:lang w:val="en-US"/>
        </w:rPr>
        <w:t xml:space="preserve"> defined</w:t>
      </w:r>
      <w:r>
        <w:rPr>
          <w:sz w:val="20"/>
          <w:szCs w:val="20"/>
          <w:lang w:val="en-US"/>
        </w:rPr>
        <w:t xml:space="preserve">. </w:t>
      </w:r>
    </w:p>
    <w:p w14:paraId="52BDA089" w14:textId="161116EC" w:rsidR="00994D4F" w:rsidRPr="00E3197F" w:rsidRDefault="00994D4F" w:rsidP="006960DC">
      <w:pPr>
        <w:pStyle w:val="ListParagraph"/>
        <w:widowControl w:val="0"/>
        <w:numPr>
          <w:ilvl w:val="0"/>
          <w:numId w:val="45"/>
        </w:numPr>
        <w:jc w:val="both"/>
        <w:rPr>
          <w:lang w:val="en-US"/>
        </w:rPr>
      </w:pPr>
      <w:r w:rsidRPr="006960DC">
        <w:rPr>
          <w:sz w:val="20"/>
          <w:szCs w:val="20"/>
          <w:lang w:val="en-US"/>
        </w:rPr>
        <w:t>PDCCH DMRS -based detection. This requires that PDCCH DMRS is transmitted via the entire CORESET at least in the beginning of the DL transmission</w:t>
      </w:r>
      <w:r>
        <w:rPr>
          <w:sz w:val="20"/>
          <w:szCs w:val="20"/>
          <w:lang w:val="en-US"/>
        </w:rPr>
        <w:t>.</w:t>
      </w:r>
    </w:p>
    <w:p w14:paraId="28A9180E" w14:textId="2C2925B7" w:rsidR="00994D4F" w:rsidRPr="0066025B" w:rsidRDefault="00961A13" w:rsidP="006960DC">
      <w:pPr>
        <w:pStyle w:val="ListParagraph"/>
        <w:widowControl w:val="0"/>
        <w:numPr>
          <w:ilvl w:val="0"/>
          <w:numId w:val="45"/>
        </w:numPr>
        <w:jc w:val="both"/>
        <w:rPr>
          <w:lang w:val="en-US"/>
        </w:rPr>
      </w:pPr>
      <w:r>
        <w:rPr>
          <w:sz w:val="20"/>
          <w:szCs w:val="20"/>
          <w:lang w:val="en-US"/>
        </w:rPr>
        <w:t>Detection of preamble</w:t>
      </w:r>
      <w:r w:rsidR="00994D4F">
        <w:rPr>
          <w:sz w:val="20"/>
          <w:szCs w:val="20"/>
          <w:lang w:val="en-US"/>
        </w:rPr>
        <w:t xml:space="preserve"> at the beginning of DL transmission. </w:t>
      </w:r>
      <w:r w:rsidR="00E3197F">
        <w:rPr>
          <w:sz w:val="20"/>
          <w:szCs w:val="20"/>
          <w:lang w:val="en-US"/>
        </w:rPr>
        <w:t>Preamble can be constructed e.g.</w:t>
      </w:r>
      <w:r>
        <w:rPr>
          <w:sz w:val="20"/>
          <w:szCs w:val="20"/>
          <w:lang w:val="en-US"/>
        </w:rPr>
        <w:t xml:space="preserve"> from CSI-RS</w:t>
      </w:r>
      <w:r w:rsidR="00884A27">
        <w:rPr>
          <w:sz w:val="20"/>
          <w:szCs w:val="20"/>
          <w:lang w:val="en-US"/>
        </w:rPr>
        <w:t>/TRS</w:t>
      </w:r>
      <w:r>
        <w:rPr>
          <w:sz w:val="20"/>
          <w:szCs w:val="20"/>
          <w:lang w:val="en-US"/>
        </w:rPr>
        <w:t xml:space="preserve"> and/or</w:t>
      </w:r>
      <w:r w:rsidR="00E3197F">
        <w:rPr>
          <w:sz w:val="20"/>
          <w:szCs w:val="20"/>
          <w:lang w:val="en-US"/>
        </w:rPr>
        <w:t xml:space="preserve"> PSS/SSS.</w:t>
      </w:r>
    </w:p>
    <w:p w14:paraId="4DF320B2" w14:textId="4AD4ADBB" w:rsidR="00B7113A" w:rsidRDefault="00B7113A" w:rsidP="006960DC">
      <w:pPr>
        <w:widowControl w:val="0"/>
        <w:jc w:val="both"/>
        <w:rPr>
          <w:lang w:val="en-US"/>
        </w:rPr>
      </w:pPr>
    </w:p>
    <w:p w14:paraId="5C19A8D0" w14:textId="65232066" w:rsidR="00B7113A" w:rsidRPr="0066025B" w:rsidRDefault="00B7113A" w:rsidP="006960DC">
      <w:pPr>
        <w:widowControl w:val="0"/>
        <w:jc w:val="both"/>
        <w:rPr>
          <w:lang w:val="en-US"/>
        </w:rPr>
      </w:pPr>
      <w:r>
        <w:rPr>
          <w:lang w:val="en-US"/>
        </w:rPr>
        <w:t>We think that these options should be studied as part of the NR-U study item.</w:t>
      </w:r>
    </w:p>
    <w:p w14:paraId="614E44F8" w14:textId="34077947" w:rsidR="00994D4F" w:rsidRDefault="00994D4F" w:rsidP="006960DC">
      <w:pPr>
        <w:pStyle w:val="ListParagraph"/>
        <w:widowControl w:val="0"/>
        <w:jc w:val="both"/>
        <w:rPr>
          <w:lang w:val="en-US"/>
        </w:rPr>
      </w:pPr>
    </w:p>
    <w:p w14:paraId="033D6931" w14:textId="24263280" w:rsidR="00E3197F" w:rsidRDefault="00E3197F" w:rsidP="00E3197F">
      <w:pPr>
        <w:spacing w:after="0"/>
        <w:jc w:val="both"/>
        <w:rPr>
          <w:i/>
          <w:lang w:val="en-US" w:eastAsia="x-none"/>
        </w:rPr>
      </w:pPr>
      <w:r>
        <w:rPr>
          <w:b/>
          <w:lang w:val="en-US" w:eastAsia="x-none"/>
        </w:rPr>
        <w:t>Proposal 1</w:t>
      </w:r>
      <w:r w:rsidR="0066025B">
        <w:rPr>
          <w:b/>
          <w:lang w:val="en-US" w:eastAsia="x-none"/>
        </w:rPr>
        <w:t>1</w:t>
      </w:r>
      <w:r w:rsidRPr="00953AB0">
        <w:rPr>
          <w:b/>
          <w:i/>
          <w:lang w:val="en-US" w:eastAsia="x-none"/>
        </w:rPr>
        <w:t>:</w:t>
      </w:r>
      <w:r>
        <w:rPr>
          <w:b/>
          <w:i/>
          <w:lang w:val="en-US" w:eastAsia="x-none"/>
        </w:rPr>
        <w:t xml:space="preserve"> </w:t>
      </w:r>
      <w:r>
        <w:rPr>
          <w:i/>
          <w:lang w:val="en-US" w:eastAsia="x-none"/>
        </w:rPr>
        <w:t xml:space="preserve">Study different </w:t>
      </w:r>
      <w:r w:rsidR="0066025B">
        <w:rPr>
          <w:i/>
          <w:lang w:val="en-US" w:eastAsia="x-none"/>
        </w:rPr>
        <w:t xml:space="preserve">options </w:t>
      </w:r>
      <w:r>
        <w:rPr>
          <w:i/>
          <w:lang w:val="en-US" w:eastAsia="x-none"/>
        </w:rPr>
        <w:t>to detect DL transmission</w:t>
      </w:r>
      <w:r w:rsidR="0066025B">
        <w:rPr>
          <w:i/>
          <w:lang w:val="en-US" w:eastAsia="x-none"/>
        </w:rPr>
        <w:t xml:space="preserve"> in NR-U</w:t>
      </w:r>
    </w:p>
    <w:p w14:paraId="0F6EF39D" w14:textId="77777777" w:rsidR="002930F9" w:rsidRDefault="002930F9" w:rsidP="00BC4958">
      <w:pPr>
        <w:spacing w:after="0"/>
        <w:jc w:val="both"/>
        <w:rPr>
          <w:i/>
        </w:rPr>
      </w:pPr>
    </w:p>
    <w:p w14:paraId="46DCB94E" w14:textId="4F772166" w:rsidR="00866746" w:rsidRPr="006276B8" w:rsidRDefault="00866746" w:rsidP="00866746">
      <w:pPr>
        <w:pStyle w:val="Heading2"/>
        <w:rPr>
          <w:sz w:val="28"/>
        </w:rPr>
      </w:pPr>
      <w:r>
        <w:rPr>
          <w:sz w:val="28"/>
          <w:lang w:eastAsia="zh-CN"/>
        </w:rPr>
        <w:t>3</w:t>
      </w:r>
      <w:r w:rsidRPr="006276B8">
        <w:rPr>
          <w:sz w:val="28"/>
        </w:rPr>
        <w:t>.</w:t>
      </w:r>
      <w:r>
        <w:rPr>
          <w:sz w:val="28"/>
          <w:lang w:eastAsia="zh-CN"/>
        </w:rPr>
        <w:t>3</w:t>
      </w:r>
      <w:r w:rsidRPr="006276B8">
        <w:rPr>
          <w:sz w:val="28"/>
        </w:rPr>
        <w:tab/>
      </w:r>
      <w:r>
        <w:rPr>
          <w:sz w:val="28"/>
        </w:rPr>
        <w:t>Indicating the COT structure</w:t>
      </w:r>
    </w:p>
    <w:p w14:paraId="01A98297" w14:textId="2606C3D0" w:rsidR="00B7113A" w:rsidRDefault="00B7113A" w:rsidP="00B7113A">
      <w:pPr>
        <w:widowControl w:val="0"/>
        <w:spacing w:after="0"/>
        <w:jc w:val="both"/>
      </w:pPr>
      <w:r>
        <w:rPr>
          <w:lang w:val="en-US"/>
        </w:rPr>
        <w:t>NR licensed band operation supports</w:t>
      </w:r>
      <w:r w:rsidR="00CA71A5">
        <w:rPr>
          <w:lang w:val="en-US"/>
        </w:rPr>
        <w:t xml:space="preserve"> both</w:t>
      </w:r>
      <w:r>
        <w:rPr>
          <w:lang w:val="en-US"/>
        </w:rPr>
        <w:t xml:space="preserve"> semi-static and dynamic configuration for SFI. We think that these options need to be supported also for NR-U:</w:t>
      </w:r>
      <w:r w:rsidRPr="00B7113A">
        <w:t xml:space="preserve"> </w:t>
      </w:r>
    </w:p>
    <w:p w14:paraId="5F038B8F" w14:textId="192127A4" w:rsidR="00B7113A" w:rsidRPr="006960DC" w:rsidRDefault="00B7113A" w:rsidP="00B7113A">
      <w:pPr>
        <w:pStyle w:val="ListParagraph"/>
        <w:widowControl w:val="0"/>
        <w:numPr>
          <w:ilvl w:val="0"/>
          <w:numId w:val="45"/>
        </w:numPr>
        <w:jc w:val="both"/>
        <w:rPr>
          <w:lang w:val="en-US"/>
        </w:rPr>
      </w:pPr>
      <w:r>
        <w:rPr>
          <w:sz w:val="20"/>
          <w:szCs w:val="20"/>
          <w:lang w:val="en-US"/>
        </w:rPr>
        <w:t xml:space="preserve">Semi-statically configured resources can be used e.g. for </w:t>
      </w:r>
      <w:r w:rsidR="00CA71A5">
        <w:rPr>
          <w:sz w:val="20"/>
          <w:szCs w:val="20"/>
          <w:lang w:val="en-US"/>
        </w:rPr>
        <w:t xml:space="preserve">discovery </w:t>
      </w:r>
      <w:r w:rsidR="008F03E0">
        <w:rPr>
          <w:sz w:val="20"/>
          <w:szCs w:val="20"/>
          <w:lang w:val="en-US"/>
        </w:rPr>
        <w:t xml:space="preserve">reference </w:t>
      </w:r>
      <w:r w:rsidR="00CA71A5">
        <w:rPr>
          <w:sz w:val="20"/>
          <w:szCs w:val="20"/>
          <w:lang w:val="en-US"/>
        </w:rPr>
        <w:t>signal and PRACH resources</w:t>
      </w:r>
    </w:p>
    <w:p w14:paraId="2C19957D" w14:textId="5173DF99" w:rsidR="00CA71A5" w:rsidRPr="005470A0" w:rsidRDefault="00CA71A5" w:rsidP="00B7113A">
      <w:pPr>
        <w:pStyle w:val="ListParagraph"/>
        <w:widowControl w:val="0"/>
        <w:numPr>
          <w:ilvl w:val="0"/>
          <w:numId w:val="45"/>
        </w:numPr>
        <w:jc w:val="both"/>
        <w:rPr>
          <w:lang w:val="en-US"/>
        </w:rPr>
      </w:pPr>
      <w:r>
        <w:rPr>
          <w:sz w:val="20"/>
          <w:szCs w:val="20"/>
          <w:lang w:val="en-US"/>
        </w:rPr>
        <w:t xml:space="preserve">Dynamic indication of the </w:t>
      </w:r>
      <w:r w:rsidR="00096781">
        <w:rPr>
          <w:sz w:val="20"/>
          <w:szCs w:val="20"/>
          <w:lang w:val="en-US"/>
        </w:rPr>
        <w:t xml:space="preserve">time-varying </w:t>
      </w:r>
      <w:r>
        <w:rPr>
          <w:sz w:val="20"/>
          <w:szCs w:val="20"/>
          <w:lang w:val="en-US"/>
        </w:rPr>
        <w:t xml:space="preserve">COT structure </w:t>
      </w:r>
      <w:r w:rsidR="005846A5">
        <w:rPr>
          <w:sz w:val="20"/>
          <w:szCs w:val="20"/>
          <w:lang w:val="en-US"/>
        </w:rPr>
        <w:t>is conveyed using GC-PDCCH</w:t>
      </w:r>
      <w:r w:rsidR="00776CB9">
        <w:rPr>
          <w:sz w:val="20"/>
          <w:szCs w:val="20"/>
          <w:lang w:val="en-US"/>
        </w:rPr>
        <w:t xml:space="preserve">. </w:t>
      </w:r>
    </w:p>
    <w:p w14:paraId="19024393" w14:textId="502FB292" w:rsidR="00776CB9" w:rsidRDefault="00776CB9" w:rsidP="0034308C">
      <w:pPr>
        <w:widowControl w:val="0"/>
        <w:spacing w:after="0"/>
        <w:jc w:val="both"/>
        <w:rPr>
          <w:lang w:val="en-US"/>
        </w:rPr>
      </w:pPr>
    </w:p>
    <w:p w14:paraId="58B7781C" w14:textId="2BF6BC1F" w:rsidR="0034308C" w:rsidRDefault="0034308C" w:rsidP="0034308C">
      <w:pPr>
        <w:widowControl w:val="0"/>
        <w:spacing w:after="0"/>
        <w:jc w:val="both"/>
      </w:pPr>
      <w:r>
        <w:rPr>
          <w:lang w:val="en-US"/>
        </w:rPr>
        <w:t>Dynamic indication of the COT structure provides many benefits</w:t>
      </w:r>
      <w:r w:rsidR="00096781">
        <w:rPr>
          <w:lang w:val="en-US"/>
        </w:rPr>
        <w:t xml:space="preserve"> including the following</w:t>
      </w:r>
      <w:r>
        <w:rPr>
          <w:lang w:val="en-US"/>
        </w:rPr>
        <w:t>:</w:t>
      </w:r>
      <w:r w:rsidRPr="0034308C">
        <w:t xml:space="preserve"> </w:t>
      </w:r>
    </w:p>
    <w:p w14:paraId="7AFEEA80" w14:textId="6555CE04" w:rsidR="00776CB9" w:rsidRPr="005470A0" w:rsidRDefault="00776CB9" w:rsidP="00776CB9">
      <w:pPr>
        <w:pStyle w:val="ListParagraph"/>
        <w:widowControl w:val="0"/>
        <w:numPr>
          <w:ilvl w:val="0"/>
          <w:numId w:val="45"/>
        </w:numPr>
        <w:jc w:val="both"/>
        <w:rPr>
          <w:lang w:val="en-US"/>
        </w:rPr>
      </w:pPr>
      <w:r>
        <w:rPr>
          <w:sz w:val="20"/>
          <w:szCs w:val="20"/>
          <w:lang w:val="en-US"/>
        </w:rPr>
        <w:t>It enables usage of Type 2 LBT at the UE</w:t>
      </w:r>
      <w:r w:rsidR="00096781">
        <w:rPr>
          <w:sz w:val="20"/>
          <w:szCs w:val="20"/>
          <w:lang w:val="en-US"/>
        </w:rPr>
        <w:t>.</w:t>
      </w:r>
    </w:p>
    <w:p w14:paraId="2077374C" w14:textId="77777777" w:rsidR="00776CB9" w:rsidRPr="005470A0" w:rsidRDefault="00776CB9" w:rsidP="00776CB9">
      <w:pPr>
        <w:pStyle w:val="ListParagraph"/>
        <w:widowControl w:val="0"/>
        <w:numPr>
          <w:ilvl w:val="0"/>
          <w:numId w:val="45"/>
        </w:numPr>
        <w:jc w:val="both"/>
        <w:rPr>
          <w:lang w:val="en-US"/>
        </w:rPr>
      </w:pPr>
      <w:r>
        <w:rPr>
          <w:sz w:val="20"/>
          <w:szCs w:val="20"/>
          <w:lang w:val="en-US"/>
        </w:rPr>
        <w:t>GC-PDCCH can be used to determine the location of the short PUCCH at the beginning of UL portion of the COT.</w:t>
      </w:r>
    </w:p>
    <w:p w14:paraId="0E932846" w14:textId="56CC66DE" w:rsidR="0034308C" w:rsidRPr="0066025B" w:rsidRDefault="0034308C" w:rsidP="0034308C">
      <w:pPr>
        <w:pStyle w:val="ListParagraph"/>
        <w:widowControl w:val="0"/>
        <w:numPr>
          <w:ilvl w:val="0"/>
          <w:numId w:val="45"/>
        </w:numPr>
        <w:jc w:val="both"/>
        <w:rPr>
          <w:sz w:val="20"/>
          <w:szCs w:val="20"/>
          <w:lang w:val="en-US"/>
        </w:rPr>
      </w:pPr>
      <w:r>
        <w:rPr>
          <w:sz w:val="20"/>
          <w:szCs w:val="20"/>
          <w:lang w:val="en-US"/>
        </w:rPr>
        <w:t>Provides opportunities for UE power saving (e.g. no PDCCH monitoring during UL portion of the COT)</w:t>
      </w:r>
    </w:p>
    <w:p w14:paraId="094F2065" w14:textId="0FECD016" w:rsidR="0034308C" w:rsidRPr="006960DC" w:rsidRDefault="0034308C" w:rsidP="0066025B">
      <w:pPr>
        <w:pStyle w:val="ListParagraph"/>
        <w:widowControl w:val="0"/>
        <w:numPr>
          <w:ilvl w:val="0"/>
          <w:numId w:val="45"/>
        </w:numPr>
        <w:jc w:val="both"/>
        <w:rPr>
          <w:lang w:val="en-US"/>
        </w:rPr>
      </w:pPr>
      <w:r>
        <w:rPr>
          <w:sz w:val="20"/>
          <w:szCs w:val="20"/>
          <w:lang w:val="en-US"/>
        </w:rPr>
        <w:t>It can be used to aid CSI measurement at the U</w:t>
      </w:r>
      <w:r w:rsidR="00776CB9">
        <w:rPr>
          <w:sz w:val="20"/>
          <w:szCs w:val="20"/>
          <w:lang w:val="en-US"/>
        </w:rPr>
        <w:t>E.</w:t>
      </w:r>
    </w:p>
    <w:p w14:paraId="0AF79385" w14:textId="2C646AE7" w:rsidR="004A12D8" w:rsidRPr="006960DC" w:rsidRDefault="004A12D8" w:rsidP="0066025B">
      <w:pPr>
        <w:pStyle w:val="ListParagraph"/>
        <w:widowControl w:val="0"/>
        <w:numPr>
          <w:ilvl w:val="0"/>
          <w:numId w:val="45"/>
        </w:numPr>
        <w:jc w:val="both"/>
        <w:rPr>
          <w:lang w:val="en-US"/>
        </w:rPr>
      </w:pPr>
      <w:r>
        <w:rPr>
          <w:sz w:val="20"/>
          <w:szCs w:val="20"/>
          <w:lang w:val="en-US"/>
        </w:rPr>
        <w:t>It can be used to detect (and/or validate) DL transmission detection.</w:t>
      </w:r>
    </w:p>
    <w:p w14:paraId="155899E5" w14:textId="0C6A126D" w:rsidR="00776CB9" w:rsidRPr="00941880" w:rsidRDefault="00776CB9" w:rsidP="006960DC">
      <w:pPr>
        <w:widowControl w:val="0"/>
        <w:ind w:left="360"/>
        <w:jc w:val="both"/>
        <w:rPr>
          <w:lang w:val="en-US"/>
        </w:rPr>
      </w:pPr>
    </w:p>
    <w:p w14:paraId="1940B904" w14:textId="04DEDE22" w:rsidR="00776CB9" w:rsidRDefault="00776CB9" w:rsidP="006960DC">
      <w:pPr>
        <w:widowControl w:val="0"/>
        <w:jc w:val="both"/>
        <w:rPr>
          <w:lang w:val="en-US"/>
        </w:rPr>
      </w:pPr>
      <w:r>
        <w:rPr>
          <w:lang w:val="en-US"/>
        </w:rPr>
        <w:t>It makes sense to use GC-PDCCH</w:t>
      </w:r>
      <w:r w:rsidR="00492DED">
        <w:rPr>
          <w:lang w:val="en-US"/>
        </w:rPr>
        <w:t xml:space="preserve"> for SFI</w:t>
      </w:r>
      <w:r>
        <w:rPr>
          <w:lang w:val="en-US"/>
        </w:rPr>
        <w:t xml:space="preserve"> defined in NR-Rel-15 as the starting point also for NR-U </w:t>
      </w:r>
      <w:r w:rsidR="00096781">
        <w:rPr>
          <w:lang w:val="en-US"/>
        </w:rPr>
        <w:t>studies</w:t>
      </w:r>
      <w:r>
        <w:rPr>
          <w:lang w:val="en-US"/>
        </w:rPr>
        <w:t>. However, NR-U specific aspects need to be considered</w:t>
      </w:r>
      <w:r w:rsidR="00B67C82">
        <w:rPr>
          <w:lang w:val="en-US"/>
        </w:rPr>
        <w:t xml:space="preserve"> as well.</w:t>
      </w:r>
      <w:r>
        <w:rPr>
          <w:lang w:val="en-US"/>
        </w:rPr>
        <w:t xml:space="preserve"> Those include e.g. NR-U -specific slot formats, wideband operation</w:t>
      </w:r>
      <w:r w:rsidR="00096781">
        <w:rPr>
          <w:lang w:val="en-US"/>
        </w:rPr>
        <w:t xml:space="preserve"> (based on 20 MHz sub-band)</w:t>
      </w:r>
      <w:r>
        <w:rPr>
          <w:lang w:val="en-US"/>
        </w:rPr>
        <w:t xml:space="preserve">, </w:t>
      </w:r>
      <w:r w:rsidR="008F03E0">
        <w:rPr>
          <w:lang w:val="en-US"/>
        </w:rPr>
        <w:t xml:space="preserve">and </w:t>
      </w:r>
      <w:r>
        <w:rPr>
          <w:lang w:val="en-US"/>
        </w:rPr>
        <w:t>support for multiple switching points within a C</w:t>
      </w:r>
      <w:r w:rsidR="00096781">
        <w:rPr>
          <w:lang w:val="en-US"/>
        </w:rPr>
        <w:t>OT.</w:t>
      </w:r>
      <w:r>
        <w:rPr>
          <w:lang w:val="en-US"/>
        </w:rPr>
        <w:t xml:space="preserve"> </w:t>
      </w:r>
    </w:p>
    <w:p w14:paraId="71C8AF9A" w14:textId="47E2EE0F" w:rsidR="00776CB9" w:rsidRDefault="00776CB9" w:rsidP="00776CB9">
      <w:pPr>
        <w:spacing w:after="0"/>
        <w:jc w:val="both"/>
        <w:rPr>
          <w:i/>
          <w:lang w:val="en-US" w:eastAsia="x-none"/>
        </w:rPr>
      </w:pPr>
      <w:r>
        <w:rPr>
          <w:b/>
          <w:lang w:val="en-US" w:eastAsia="x-none"/>
        </w:rPr>
        <w:t>Proposal 1</w:t>
      </w:r>
      <w:r w:rsidR="0066025B">
        <w:rPr>
          <w:b/>
          <w:lang w:val="en-US" w:eastAsia="x-none"/>
        </w:rPr>
        <w:t>2</w:t>
      </w:r>
      <w:r w:rsidRPr="00953AB0">
        <w:rPr>
          <w:b/>
          <w:i/>
          <w:lang w:val="en-US" w:eastAsia="x-none"/>
        </w:rPr>
        <w:t>:</w:t>
      </w:r>
      <w:r>
        <w:rPr>
          <w:b/>
          <w:i/>
          <w:lang w:val="en-US" w:eastAsia="x-none"/>
        </w:rPr>
        <w:t xml:space="preserve"> </w:t>
      </w:r>
      <w:r w:rsidR="00B60796">
        <w:rPr>
          <w:i/>
          <w:lang w:val="en-US" w:eastAsia="x-none"/>
        </w:rPr>
        <w:t>Use NR-U specific GC-PDCCH for</w:t>
      </w:r>
      <w:r>
        <w:rPr>
          <w:i/>
          <w:lang w:val="en-US" w:eastAsia="x-none"/>
        </w:rPr>
        <w:t xml:space="preserve"> dynamic indication of the COT structure. </w:t>
      </w:r>
    </w:p>
    <w:p w14:paraId="4A8DF0DA" w14:textId="71492A1C" w:rsidR="00492DED" w:rsidRPr="006960DC" w:rsidRDefault="00492DED" w:rsidP="006960DC">
      <w:pPr>
        <w:pStyle w:val="ListParagraph"/>
        <w:numPr>
          <w:ilvl w:val="0"/>
          <w:numId w:val="36"/>
        </w:numPr>
        <w:jc w:val="both"/>
        <w:rPr>
          <w:i/>
          <w:lang w:val="en-US" w:eastAsia="x-none"/>
        </w:rPr>
      </w:pPr>
      <w:r w:rsidRPr="00492DED">
        <w:rPr>
          <w:i/>
          <w:sz w:val="20"/>
          <w:szCs w:val="20"/>
          <w:lang w:val="en-US" w:eastAsia="x-none"/>
        </w:rPr>
        <w:t xml:space="preserve">GC-PDCCH for SFI defined in NR-Rel-15 </w:t>
      </w:r>
      <w:r>
        <w:rPr>
          <w:i/>
          <w:sz w:val="20"/>
          <w:szCs w:val="20"/>
          <w:lang w:val="en-US" w:eastAsia="x-none"/>
        </w:rPr>
        <w:t xml:space="preserve">can be used </w:t>
      </w:r>
      <w:r w:rsidRPr="00492DED">
        <w:rPr>
          <w:i/>
          <w:sz w:val="20"/>
          <w:szCs w:val="20"/>
          <w:lang w:val="en-US" w:eastAsia="x-none"/>
        </w:rPr>
        <w:t>as the starting point</w:t>
      </w:r>
      <w:r>
        <w:rPr>
          <w:i/>
          <w:sz w:val="20"/>
          <w:szCs w:val="20"/>
          <w:lang w:val="en-US" w:eastAsia="x-none"/>
        </w:rPr>
        <w:t xml:space="preserve"> for discussion</w:t>
      </w:r>
    </w:p>
    <w:p w14:paraId="03DE6D7C" w14:textId="071AE160" w:rsidR="00866746" w:rsidRPr="006960DC" w:rsidRDefault="00866746" w:rsidP="00BC4958">
      <w:pPr>
        <w:spacing w:after="0"/>
        <w:jc w:val="both"/>
        <w:rPr>
          <w:i/>
          <w:lang w:val="en-US"/>
        </w:rPr>
      </w:pPr>
    </w:p>
    <w:p w14:paraId="0D827FAF" w14:textId="1165AED0" w:rsidR="0034111C" w:rsidRPr="00A51522" w:rsidRDefault="00051616">
      <w:pPr>
        <w:pStyle w:val="Heading1"/>
        <w:rPr>
          <w:color w:val="000000"/>
        </w:rPr>
      </w:pPr>
      <w:r>
        <w:rPr>
          <w:color w:val="000000"/>
        </w:rPr>
        <w:lastRenderedPageBreak/>
        <w:t>4</w:t>
      </w:r>
      <w:r w:rsidR="00F30C74">
        <w:rPr>
          <w:color w:val="000000"/>
        </w:rPr>
        <w:t xml:space="preserve">. </w:t>
      </w:r>
      <w:r w:rsidR="00EE7FA7" w:rsidRPr="00A51522">
        <w:rPr>
          <w:color w:val="000000"/>
        </w:rPr>
        <w:t>Conclusion</w:t>
      </w:r>
      <w:r w:rsidR="00DB39D4" w:rsidRPr="00A51522">
        <w:rPr>
          <w:color w:val="000000"/>
        </w:rPr>
        <w:t>s</w:t>
      </w:r>
    </w:p>
    <w:p w14:paraId="626917E1" w14:textId="0AF956CB" w:rsidR="00731B79" w:rsidRDefault="003D3FBA" w:rsidP="006060C2">
      <w:pPr>
        <w:spacing w:after="120"/>
        <w:jc w:val="both"/>
        <w:rPr>
          <w:bCs/>
        </w:rPr>
      </w:pPr>
      <w:r w:rsidRPr="00A51522">
        <w:t>In this contribution</w:t>
      </w:r>
      <w:r w:rsidR="009251C8">
        <w:t>,</w:t>
      </w:r>
      <w:r w:rsidRPr="00A51522">
        <w:t xml:space="preserve"> we have discussed </w:t>
      </w:r>
      <w:r w:rsidR="00800DC4">
        <w:rPr>
          <w:rFonts w:eastAsia="Times New Roman"/>
          <w:szCs w:val="24"/>
          <w:lang w:val="en-US" w:eastAsia="fi-FI"/>
        </w:rPr>
        <w:t>p</w:t>
      </w:r>
      <w:r w:rsidR="00800DC4" w:rsidRPr="00A23069">
        <w:rPr>
          <w:rFonts w:eastAsia="Times New Roman"/>
          <w:szCs w:val="24"/>
          <w:lang w:val="en-US" w:eastAsia="fi-FI"/>
        </w:rPr>
        <w:t xml:space="preserve">otential solutions and techniques </w:t>
      </w:r>
      <w:r w:rsidR="00F5669F">
        <w:rPr>
          <w:rFonts w:eastAsia="Times New Roman"/>
          <w:szCs w:val="24"/>
          <w:lang w:val="en-US" w:eastAsia="fi-FI"/>
        </w:rPr>
        <w:t>related to NR-U frame structure</w:t>
      </w:r>
      <w:r w:rsidR="006060C2">
        <w:rPr>
          <w:bCs/>
        </w:rPr>
        <w:t>.</w:t>
      </w:r>
      <w:r w:rsidR="00342AD2">
        <w:rPr>
          <w:bCs/>
        </w:rPr>
        <w:t xml:space="preserve"> Based on the discussion, we make the following</w:t>
      </w:r>
      <w:r w:rsidR="00A643E0">
        <w:rPr>
          <w:bCs/>
        </w:rPr>
        <w:t xml:space="preserve"> </w:t>
      </w:r>
      <w:r w:rsidR="00342AD2">
        <w:rPr>
          <w:bCs/>
        </w:rPr>
        <w:t>proposal</w:t>
      </w:r>
      <w:r w:rsidR="006060C2">
        <w:rPr>
          <w:bCs/>
        </w:rPr>
        <w:t>s</w:t>
      </w:r>
      <w:r w:rsidR="00A64AE7">
        <w:rPr>
          <w:bCs/>
        </w:rPr>
        <w:t xml:space="preserve"> and an observation</w:t>
      </w:r>
      <w:r w:rsidR="00342AD2">
        <w:rPr>
          <w:bCs/>
        </w:rPr>
        <w:t>:</w:t>
      </w:r>
    </w:p>
    <w:p w14:paraId="21AF32C1" w14:textId="37E7207C" w:rsidR="00535AF7" w:rsidRDefault="00535AF7" w:rsidP="002C2600">
      <w:pPr>
        <w:spacing w:after="0"/>
        <w:jc w:val="both"/>
        <w:rPr>
          <w:b/>
          <w:u w:val="single"/>
        </w:rPr>
      </w:pPr>
      <w:r w:rsidRPr="00535AF7">
        <w:rPr>
          <w:b/>
          <w:u w:val="single"/>
        </w:rPr>
        <w:t>Numerology and waveforms</w:t>
      </w:r>
      <w:r>
        <w:rPr>
          <w:b/>
          <w:u w:val="single"/>
        </w:rPr>
        <w:t>:</w:t>
      </w:r>
    </w:p>
    <w:p w14:paraId="38D5F782" w14:textId="77777777" w:rsidR="00535AF7" w:rsidRPr="00535AF7" w:rsidRDefault="00535AF7" w:rsidP="002C2600">
      <w:pPr>
        <w:spacing w:after="0"/>
        <w:jc w:val="both"/>
        <w:rPr>
          <w:b/>
          <w:i/>
          <w:u w:val="single"/>
          <w:lang w:val="en-US" w:eastAsia="x-none"/>
        </w:rPr>
      </w:pPr>
    </w:p>
    <w:p w14:paraId="4BA01B1A" w14:textId="015B2BE2" w:rsidR="00E95564" w:rsidRDefault="00E95564" w:rsidP="002C2600">
      <w:pPr>
        <w:spacing w:after="0"/>
        <w:ind w:left="284"/>
        <w:jc w:val="both"/>
        <w:rPr>
          <w:i/>
          <w:lang w:val="en-US" w:eastAsia="x-none"/>
        </w:rPr>
      </w:pPr>
      <w:r w:rsidRPr="00953AB0">
        <w:rPr>
          <w:b/>
          <w:i/>
          <w:lang w:val="en-US" w:eastAsia="x-none"/>
        </w:rPr>
        <w:t xml:space="preserve">Proposal 1: </w:t>
      </w:r>
      <w:r>
        <w:rPr>
          <w:i/>
          <w:lang w:val="en-US" w:eastAsia="x-none"/>
        </w:rPr>
        <w:t>Adopt the existing</w:t>
      </w:r>
      <w:r w:rsidRPr="00EF58AE">
        <w:rPr>
          <w:i/>
          <w:lang w:val="en-US" w:eastAsia="x-none"/>
        </w:rPr>
        <w:t xml:space="preserve"> NR numerology set for NR unlicensed operation </w:t>
      </w:r>
    </w:p>
    <w:p w14:paraId="583C8631" w14:textId="77777777" w:rsidR="00E95564" w:rsidRPr="00EF58AE" w:rsidRDefault="00E95564" w:rsidP="002C2600">
      <w:pPr>
        <w:pStyle w:val="ListParagraph"/>
        <w:numPr>
          <w:ilvl w:val="0"/>
          <w:numId w:val="19"/>
        </w:numPr>
        <w:ind w:left="1288"/>
        <w:jc w:val="both"/>
        <w:rPr>
          <w:b/>
          <w:i/>
          <w:sz w:val="20"/>
          <w:lang w:val="en-US" w:eastAsia="x-none"/>
        </w:rPr>
      </w:pPr>
      <w:r w:rsidRPr="00EF58AE">
        <w:rPr>
          <w:i/>
          <w:sz w:val="20"/>
          <w:lang w:val="en-US" w:eastAsia="x-none"/>
        </w:rPr>
        <w:t>For 60 GHz a larger subcarrier spacing may be needed</w:t>
      </w:r>
    </w:p>
    <w:p w14:paraId="21938D72" w14:textId="77777777" w:rsidR="0066025B" w:rsidRDefault="0066025B" w:rsidP="002C2600">
      <w:pPr>
        <w:spacing w:after="0"/>
        <w:ind w:left="284"/>
        <w:jc w:val="both"/>
        <w:rPr>
          <w:b/>
          <w:i/>
          <w:lang w:val="en-US" w:eastAsia="x-none"/>
        </w:rPr>
      </w:pPr>
    </w:p>
    <w:p w14:paraId="7CD5B6DE" w14:textId="47F2BCFC" w:rsidR="0066025B" w:rsidRDefault="0066025B" w:rsidP="002C2600">
      <w:pPr>
        <w:spacing w:after="0"/>
        <w:ind w:left="284"/>
        <w:jc w:val="both"/>
        <w:rPr>
          <w:b/>
          <w:i/>
          <w:lang w:val="en-US" w:eastAsia="x-none"/>
        </w:rPr>
      </w:pPr>
      <w:r w:rsidRPr="0066025B">
        <w:rPr>
          <w:b/>
          <w:i/>
          <w:lang w:val="en-US" w:eastAsia="x-none"/>
        </w:rPr>
        <w:t xml:space="preserve">Proposal 2: </w:t>
      </w:r>
      <w:r w:rsidRPr="006960DC">
        <w:rPr>
          <w:i/>
          <w:lang w:val="en-US" w:eastAsia="x-none"/>
        </w:rPr>
        <w:t>Extended CP length is not considered for NR-U.</w:t>
      </w:r>
    </w:p>
    <w:p w14:paraId="622E7CFF" w14:textId="51C01099" w:rsidR="00E95564" w:rsidRPr="00EF58AE" w:rsidRDefault="00E95564" w:rsidP="002C2600">
      <w:pPr>
        <w:spacing w:after="0"/>
        <w:ind w:left="284"/>
        <w:jc w:val="both"/>
        <w:rPr>
          <w:b/>
          <w:i/>
          <w:lang w:val="en-US" w:eastAsia="x-none"/>
        </w:rPr>
      </w:pPr>
      <w:r w:rsidRPr="00953AB0">
        <w:rPr>
          <w:b/>
          <w:i/>
          <w:lang w:val="en-US" w:eastAsia="x-none"/>
        </w:rPr>
        <w:t xml:space="preserve">Proposal </w:t>
      </w:r>
      <w:r w:rsidR="0066025B">
        <w:rPr>
          <w:b/>
          <w:i/>
          <w:lang w:val="en-US" w:eastAsia="x-none"/>
        </w:rPr>
        <w:t>3</w:t>
      </w:r>
      <w:r w:rsidRPr="00953AB0">
        <w:rPr>
          <w:b/>
          <w:i/>
          <w:lang w:val="en-US" w:eastAsia="x-none"/>
        </w:rPr>
        <w:t xml:space="preserve">: </w:t>
      </w:r>
      <w:r w:rsidRPr="00EF58AE">
        <w:rPr>
          <w:i/>
          <w:lang w:val="en-US" w:eastAsia="x-none"/>
        </w:rPr>
        <w:t>Existing NR waveforms are suitable for NR unlicensed operation</w:t>
      </w:r>
      <w:r>
        <w:rPr>
          <w:i/>
          <w:lang w:val="en-US" w:eastAsia="x-none"/>
        </w:rPr>
        <w:t>. I</w:t>
      </w:r>
      <w:r w:rsidRPr="00AD61F5">
        <w:rPr>
          <w:i/>
          <w:lang w:val="en-US" w:eastAsia="x-none"/>
        </w:rPr>
        <w:t xml:space="preserve">f a new waveform is introduced for licensed bands </w:t>
      </w:r>
      <w:r>
        <w:rPr>
          <w:i/>
          <w:lang w:val="en-US" w:eastAsia="x-none"/>
        </w:rPr>
        <w:t>above</w:t>
      </w:r>
      <w:r w:rsidRPr="00AD61F5">
        <w:rPr>
          <w:i/>
          <w:lang w:val="en-US" w:eastAsia="x-none"/>
        </w:rPr>
        <w:t xml:space="preserve"> 52.6 GHz, it should also be used for 60 GHz unlicensed band</w:t>
      </w:r>
      <w:r>
        <w:rPr>
          <w:i/>
          <w:lang w:val="en-US" w:eastAsia="x-none"/>
        </w:rPr>
        <w:t>.</w:t>
      </w:r>
    </w:p>
    <w:p w14:paraId="2C7E3521" w14:textId="5049A20F" w:rsidR="00E95564" w:rsidRDefault="00E95564" w:rsidP="002C2600">
      <w:pPr>
        <w:spacing w:after="0"/>
        <w:ind w:left="284"/>
        <w:jc w:val="both"/>
        <w:rPr>
          <w:i/>
          <w:lang w:val="en-US" w:eastAsia="x-none"/>
        </w:rPr>
      </w:pPr>
      <w:r w:rsidRPr="00953AB0">
        <w:rPr>
          <w:b/>
          <w:i/>
          <w:lang w:val="en-US" w:eastAsia="x-none"/>
        </w:rPr>
        <w:t xml:space="preserve">Proposal </w:t>
      </w:r>
      <w:r w:rsidR="0066025B">
        <w:rPr>
          <w:b/>
          <w:i/>
          <w:lang w:val="en-US" w:eastAsia="x-none"/>
        </w:rPr>
        <w:t>4</w:t>
      </w:r>
      <w:r w:rsidRPr="00953AB0">
        <w:rPr>
          <w:b/>
          <w:i/>
          <w:lang w:val="en-US" w:eastAsia="x-none"/>
        </w:rPr>
        <w:t xml:space="preserve">: </w:t>
      </w:r>
      <w:r w:rsidRPr="00EF58AE">
        <w:rPr>
          <w:i/>
          <w:lang w:val="en-US" w:eastAsia="x-none"/>
        </w:rPr>
        <w:t xml:space="preserve">UL resource allocation needs to be enhanced </w:t>
      </w:r>
      <w:r>
        <w:rPr>
          <w:i/>
          <w:lang w:val="en-US" w:eastAsia="x-none"/>
        </w:rPr>
        <w:t>to support interlace based operation.</w:t>
      </w:r>
    </w:p>
    <w:p w14:paraId="345C3249" w14:textId="33DB098B" w:rsidR="00325CCE" w:rsidRPr="000236B0" w:rsidRDefault="00325CCE" w:rsidP="00595389">
      <w:pPr>
        <w:ind w:left="284"/>
        <w:jc w:val="both"/>
        <w:rPr>
          <w:rFonts w:cs="Arial"/>
          <w:i/>
        </w:rPr>
      </w:pPr>
      <w:r w:rsidRPr="000236B0">
        <w:rPr>
          <w:rFonts w:cs="Arial"/>
          <w:b/>
          <w:i/>
        </w:rPr>
        <w:t xml:space="preserve">Proposal </w:t>
      </w:r>
      <w:r w:rsidR="0066025B">
        <w:rPr>
          <w:rFonts w:cs="Arial"/>
          <w:b/>
          <w:i/>
        </w:rPr>
        <w:t>5</w:t>
      </w:r>
      <w:r w:rsidRPr="000236B0">
        <w:rPr>
          <w:rFonts w:cs="Arial"/>
          <w:b/>
          <w:i/>
        </w:rPr>
        <w:t>:</w:t>
      </w:r>
      <w:r w:rsidRPr="00325CCE">
        <w:rPr>
          <w:rFonts w:cs="Arial"/>
        </w:rPr>
        <w:t xml:space="preserve"> </w:t>
      </w:r>
      <w:r w:rsidRPr="000236B0">
        <w:rPr>
          <w:rFonts w:cs="Arial"/>
          <w:i/>
        </w:rPr>
        <w:t>OCB requirement is not applicable in all cases and in those cases Rel-15 NR channels / signals may be used.</w:t>
      </w:r>
    </w:p>
    <w:p w14:paraId="28ED4FE6" w14:textId="637CB304" w:rsidR="00535AF7" w:rsidRDefault="00535AF7" w:rsidP="002C2600">
      <w:pPr>
        <w:overflowPunct/>
        <w:autoSpaceDE/>
        <w:autoSpaceDN/>
        <w:adjustRightInd/>
        <w:spacing w:after="0"/>
        <w:textAlignment w:val="auto"/>
        <w:rPr>
          <w:rFonts w:eastAsia="MS Mincho"/>
          <w:b/>
          <w:i/>
          <w:lang w:val="en-US" w:eastAsia="ja-JP"/>
        </w:rPr>
      </w:pPr>
    </w:p>
    <w:p w14:paraId="41EC9843" w14:textId="7509E924" w:rsidR="00535AF7" w:rsidRPr="00535AF7" w:rsidRDefault="00535AF7" w:rsidP="002C2600">
      <w:pPr>
        <w:overflowPunct/>
        <w:autoSpaceDE/>
        <w:autoSpaceDN/>
        <w:adjustRightInd/>
        <w:spacing w:after="0"/>
        <w:textAlignment w:val="auto"/>
        <w:rPr>
          <w:rFonts w:eastAsia="MS Mincho"/>
          <w:b/>
          <w:i/>
          <w:u w:val="single"/>
          <w:lang w:val="en-US" w:eastAsia="ja-JP"/>
        </w:rPr>
      </w:pPr>
      <w:r>
        <w:rPr>
          <w:b/>
          <w:u w:val="single"/>
        </w:rPr>
        <w:t>Frame structure:</w:t>
      </w:r>
    </w:p>
    <w:p w14:paraId="4377BC39" w14:textId="77777777" w:rsidR="00535AF7" w:rsidRDefault="00535AF7" w:rsidP="002C2600">
      <w:pPr>
        <w:overflowPunct/>
        <w:autoSpaceDE/>
        <w:autoSpaceDN/>
        <w:adjustRightInd/>
        <w:spacing w:after="0"/>
        <w:textAlignment w:val="auto"/>
        <w:rPr>
          <w:rFonts w:eastAsia="MS Mincho"/>
          <w:b/>
          <w:i/>
          <w:lang w:val="en-US" w:eastAsia="ja-JP"/>
        </w:rPr>
      </w:pPr>
    </w:p>
    <w:p w14:paraId="4994742B" w14:textId="18420D81" w:rsidR="00A64AE7" w:rsidRDefault="00A64AE7" w:rsidP="00A64AE7">
      <w:pPr>
        <w:widowControl w:val="0"/>
        <w:overflowPunct/>
        <w:autoSpaceDE/>
        <w:autoSpaceDN/>
        <w:adjustRightInd/>
        <w:spacing w:after="0"/>
        <w:ind w:left="284"/>
        <w:jc w:val="both"/>
        <w:textAlignment w:val="auto"/>
        <w:rPr>
          <w:i/>
        </w:rPr>
      </w:pPr>
      <w:r w:rsidRPr="006960DC">
        <w:rPr>
          <w:b/>
          <w:i/>
        </w:rPr>
        <w:t>Observation</w:t>
      </w:r>
      <w:r>
        <w:rPr>
          <w:b/>
          <w:i/>
        </w:rPr>
        <w:t xml:space="preserve"> 1</w:t>
      </w:r>
      <w:r w:rsidRPr="006960DC">
        <w:rPr>
          <w:b/>
          <w:i/>
        </w:rPr>
        <w:t>:</w:t>
      </w:r>
      <w:r w:rsidRPr="006960DC">
        <w:rPr>
          <w:i/>
        </w:rPr>
        <w:t xml:space="preserve"> Introduction of multiple-switching points within COT does not</w:t>
      </w:r>
      <w:r>
        <w:rPr>
          <w:i/>
        </w:rPr>
        <w:t xml:space="preserve"> necessarily</w:t>
      </w:r>
      <w:r w:rsidRPr="006960DC">
        <w:rPr>
          <w:i/>
        </w:rPr>
        <w:t xml:space="preserve"> increase the frequency of TYPE 2 LBT, while significantly reduces the latency. </w:t>
      </w:r>
    </w:p>
    <w:p w14:paraId="3D54E72E" w14:textId="77777777" w:rsidR="00A64AE7" w:rsidRPr="00A64AE7" w:rsidRDefault="00A64AE7" w:rsidP="00A64AE7">
      <w:pPr>
        <w:spacing w:after="0"/>
        <w:ind w:left="284"/>
        <w:jc w:val="both"/>
        <w:rPr>
          <w:b/>
          <w:lang w:eastAsia="x-none"/>
        </w:rPr>
      </w:pPr>
    </w:p>
    <w:p w14:paraId="344226EB" w14:textId="7D359CCF" w:rsidR="0066025B" w:rsidRDefault="0066025B" w:rsidP="006960DC">
      <w:pPr>
        <w:spacing w:after="0"/>
        <w:ind w:left="284"/>
        <w:jc w:val="both"/>
        <w:rPr>
          <w:i/>
          <w:lang w:val="en-US" w:eastAsia="x-none"/>
        </w:rPr>
      </w:pPr>
      <w:r w:rsidRPr="002C0588">
        <w:rPr>
          <w:b/>
          <w:lang w:val="en-US" w:eastAsia="x-none"/>
        </w:rPr>
        <w:t xml:space="preserve">Proposal </w:t>
      </w:r>
      <w:r>
        <w:rPr>
          <w:b/>
          <w:lang w:val="en-US" w:eastAsia="x-none"/>
        </w:rPr>
        <w:t>6</w:t>
      </w:r>
      <w:r w:rsidRPr="00953AB0">
        <w:rPr>
          <w:b/>
          <w:i/>
          <w:lang w:val="en-US" w:eastAsia="x-none"/>
        </w:rPr>
        <w:t xml:space="preserve">: </w:t>
      </w:r>
      <w:r w:rsidRPr="00EF58AE">
        <w:rPr>
          <w:i/>
          <w:lang w:val="en-US" w:eastAsia="x-none"/>
        </w:rPr>
        <w:t xml:space="preserve">NR Unlicensed band operation can be based on fixed frame timing and </w:t>
      </w:r>
      <w:r>
        <w:rPr>
          <w:i/>
          <w:lang w:val="en-US" w:eastAsia="x-none"/>
        </w:rPr>
        <w:t>slot formats</w:t>
      </w:r>
      <w:r w:rsidRPr="00EF58AE">
        <w:rPr>
          <w:i/>
          <w:lang w:val="en-US" w:eastAsia="x-none"/>
        </w:rPr>
        <w:t xml:space="preserve"> defined in </w:t>
      </w:r>
      <w:r>
        <w:rPr>
          <w:i/>
          <w:lang w:val="en-US" w:eastAsia="x-none"/>
        </w:rPr>
        <w:t>NR Rel-15.</w:t>
      </w:r>
    </w:p>
    <w:p w14:paraId="68DBCBBA" w14:textId="77777777" w:rsidR="0066025B" w:rsidRDefault="0066025B" w:rsidP="006960DC">
      <w:pPr>
        <w:spacing w:after="0"/>
        <w:ind w:left="284"/>
        <w:jc w:val="both"/>
        <w:rPr>
          <w:i/>
          <w:lang w:val="en-US" w:eastAsia="x-none"/>
        </w:rPr>
      </w:pPr>
      <w:r w:rsidRPr="002C0588">
        <w:rPr>
          <w:b/>
          <w:lang w:val="en-US" w:eastAsia="x-none"/>
        </w:rPr>
        <w:t xml:space="preserve">Proposal </w:t>
      </w:r>
      <w:r>
        <w:rPr>
          <w:b/>
          <w:lang w:val="en-US" w:eastAsia="x-none"/>
        </w:rPr>
        <w:t>7</w:t>
      </w:r>
      <w:r w:rsidRPr="00953AB0">
        <w:rPr>
          <w:b/>
          <w:i/>
          <w:lang w:val="en-US" w:eastAsia="x-none"/>
        </w:rPr>
        <w:t xml:space="preserve">: </w:t>
      </w:r>
      <w:r>
        <w:rPr>
          <w:i/>
          <w:lang w:val="en-US" w:eastAsia="x-none"/>
        </w:rPr>
        <w:t>NR-U operation should support short PUCCH located at the beginning of the UL portion of the COT.</w:t>
      </w:r>
    </w:p>
    <w:p w14:paraId="5511F0F2" w14:textId="77777777" w:rsidR="0066025B" w:rsidRDefault="0066025B" w:rsidP="006960DC">
      <w:pPr>
        <w:spacing w:after="0"/>
        <w:ind w:left="284"/>
        <w:jc w:val="both"/>
        <w:rPr>
          <w:i/>
          <w:lang w:val="en-US" w:eastAsia="x-none"/>
        </w:rPr>
      </w:pPr>
      <w:r>
        <w:rPr>
          <w:b/>
          <w:lang w:val="en-US" w:eastAsia="x-none"/>
        </w:rPr>
        <w:t>Proposal 8</w:t>
      </w:r>
      <w:r w:rsidRPr="00953AB0">
        <w:rPr>
          <w:b/>
          <w:i/>
          <w:lang w:val="en-US" w:eastAsia="x-none"/>
        </w:rPr>
        <w:t xml:space="preserve">: </w:t>
      </w:r>
      <w:r>
        <w:rPr>
          <w:i/>
          <w:lang w:val="en-US" w:eastAsia="x-none"/>
        </w:rPr>
        <w:t>Study LBT options for the case with multiple switching points within a TxOP</w:t>
      </w:r>
    </w:p>
    <w:p w14:paraId="2C55571F" w14:textId="19BB4367" w:rsidR="0066025B" w:rsidRDefault="0066025B" w:rsidP="006960DC">
      <w:pPr>
        <w:spacing w:after="0"/>
        <w:ind w:left="284"/>
        <w:jc w:val="both"/>
        <w:rPr>
          <w:i/>
          <w:lang w:val="en-US" w:eastAsia="x-none"/>
        </w:rPr>
      </w:pPr>
      <w:r>
        <w:rPr>
          <w:b/>
          <w:lang w:val="en-US" w:eastAsia="x-none"/>
        </w:rPr>
        <w:t>Proposal 9</w:t>
      </w:r>
      <w:r w:rsidRPr="00953AB0">
        <w:rPr>
          <w:b/>
          <w:i/>
          <w:lang w:val="en-US" w:eastAsia="x-none"/>
        </w:rPr>
        <w:t>:</w:t>
      </w:r>
      <w:r>
        <w:rPr>
          <w:b/>
          <w:i/>
          <w:lang w:val="en-US" w:eastAsia="x-none"/>
        </w:rPr>
        <w:t xml:space="preserve"> </w:t>
      </w:r>
      <w:r>
        <w:rPr>
          <w:i/>
          <w:lang w:val="en-US" w:eastAsia="x-none"/>
        </w:rPr>
        <w:t>Consider PDCCH monitoring, where non-slot based monitoring is used at the beginning of the COT and slot-based monitoring is used after first mini-slot(s) of the COT</w:t>
      </w:r>
    </w:p>
    <w:p w14:paraId="2A63AE6C" w14:textId="19513B17" w:rsidR="0066025B" w:rsidRDefault="0066025B" w:rsidP="006960DC">
      <w:pPr>
        <w:spacing w:after="120"/>
        <w:ind w:firstLine="284"/>
        <w:jc w:val="both"/>
        <w:rPr>
          <w:i/>
        </w:rPr>
      </w:pPr>
      <w:r>
        <w:rPr>
          <w:b/>
        </w:rPr>
        <w:t>Proposal 10</w:t>
      </w:r>
      <w:r>
        <w:t xml:space="preserve">: </w:t>
      </w:r>
      <w:r>
        <w:rPr>
          <w:i/>
        </w:rPr>
        <w:t xml:space="preserve">Possibilities for </w:t>
      </w:r>
      <w:r w:rsidR="00012C42">
        <w:rPr>
          <w:i/>
        </w:rPr>
        <w:t>(</w:t>
      </w:r>
      <w:r>
        <w:rPr>
          <w:i/>
        </w:rPr>
        <w:t>mini-</w:t>
      </w:r>
      <w:r w:rsidR="00012C42">
        <w:rPr>
          <w:i/>
        </w:rPr>
        <w:t>)</w:t>
      </w:r>
      <w:r>
        <w:rPr>
          <w:i/>
        </w:rPr>
        <w:t xml:space="preserve">slot structure independent from time are investigated.  </w:t>
      </w:r>
    </w:p>
    <w:p w14:paraId="779DC03C" w14:textId="752193C7" w:rsidR="0066025B" w:rsidRDefault="0066025B" w:rsidP="006960DC">
      <w:pPr>
        <w:spacing w:after="120"/>
        <w:ind w:firstLine="284"/>
        <w:jc w:val="both"/>
        <w:rPr>
          <w:i/>
          <w:lang w:val="en-US" w:eastAsia="x-none"/>
        </w:rPr>
      </w:pPr>
      <w:r>
        <w:rPr>
          <w:b/>
          <w:lang w:val="en-US" w:eastAsia="x-none"/>
        </w:rPr>
        <w:t>Proposal 11</w:t>
      </w:r>
      <w:r w:rsidRPr="00953AB0">
        <w:rPr>
          <w:b/>
          <w:i/>
          <w:lang w:val="en-US" w:eastAsia="x-none"/>
        </w:rPr>
        <w:t>:</w:t>
      </w:r>
      <w:r>
        <w:rPr>
          <w:b/>
          <w:i/>
          <w:lang w:val="en-US" w:eastAsia="x-none"/>
        </w:rPr>
        <w:t xml:space="preserve"> </w:t>
      </w:r>
      <w:r>
        <w:rPr>
          <w:i/>
          <w:lang w:val="en-US" w:eastAsia="x-none"/>
        </w:rPr>
        <w:t>Study different options to detect DL transmission in NR-U</w:t>
      </w:r>
    </w:p>
    <w:p w14:paraId="1540FC40" w14:textId="77777777" w:rsidR="00F664F7" w:rsidRDefault="0066025B" w:rsidP="006960DC">
      <w:pPr>
        <w:spacing w:after="0"/>
        <w:ind w:firstLine="284"/>
        <w:jc w:val="both"/>
        <w:rPr>
          <w:i/>
          <w:lang w:val="en-US" w:eastAsia="x-none"/>
        </w:rPr>
      </w:pPr>
      <w:r>
        <w:rPr>
          <w:b/>
          <w:lang w:val="en-US" w:eastAsia="x-none"/>
        </w:rPr>
        <w:t>Proposal 12</w:t>
      </w:r>
      <w:r w:rsidRPr="00953AB0">
        <w:rPr>
          <w:b/>
          <w:i/>
          <w:lang w:val="en-US" w:eastAsia="x-none"/>
        </w:rPr>
        <w:t>:</w:t>
      </w:r>
      <w:r>
        <w:rPr>
          <w:b/>
          <w:i/>
          <w:lang w:val="en-US" w:eastAsia="x-none"/>
        </w:rPr>
        <w:t xml:space="preserve"> </w:t>
      </w:r>
      <w:r w:rsidR="00F664F7">
        <w:rPr>
          <w:i/>
          <w:lang w:val="en-US" w:eastAsia="x-none"/>
        </w:rPr>
        <w:t xml:space="preserve">Use NR-U specific GC-PDCCH for dynamic indication of the COT structure. </w:t>
      </w:r>
    </w:p>
    <w:p w14:paraId="7919EE8D" w14:textId="77777777" w:rsidR="00F664F7" w:rsidRPr="00282A24" w:rsidRDefault="00F664F7" w:rsidP="00F664F7">
      <w:pPr>
        <w:pStyle w:val="ListParagraph"/>
        <w:numPr>
          <w:ilvl w:val="0"/>
          <w:numId w:val="36"/>
        </w:numPr>
        <w:jc w:val="both"/>
        <w:rPr>
          <w:i/>
          <w:lang w:val="en-US" w:eastAsia="x-none"/>
        </w:rPr>
      </w:pPr>
      <w:r w:rsidRPr="00492DED">
        <w:rPr>
          <w:i/>
          <w:sz w:val="20"/>
          <w:szCs w:val="20"/>
          <w:lang w:val="en-US" w:eastAsia="x-none"/>
        </w:rPr>
        <w:t xml:space="preserve">GC-PDCCH for SFI defined in NR-Rel-15 </w:t>
      </w:r>
      <w:r>
        <w:rPr>
          <w:i/>
          <w:sz w:val="20"/>
          <w:szCs w:val="20"/>
          <w:lang w:val="en-US" w:eastAsia="x-none"/>
        </w:rPr>
        <w:t xml:space="preserve">can be used </w:t>
      </w:r>
      <w:r w:rsidRPr="00492DED">
        <w:rPr>
          <w:i/>
          <w:sz w:val="20"/>
          <w:szCs w:val="20"/>
          <w:lang w:val="en-US" w:eastAsia="x-none"/>
        </w:rPr>
        <w:t>as the starting point</w:t>
      </w:r>
      <w:r>
        <w:rPr>
          <w:i/>
          <w:sz w:val="20"/>
          <w:szCs w:val="20"/>
          <w:lang w:val="en-US" w:eastAsia="x-none"/>
        </w:rPr>
        <w:t xml:space="preserve"> for discussion</w:t>
      </w:r>
    </w:p>
    <w:p w14:paraId="43924550" w14:textId="6ECBA334" w:rsidR="0066025B" w:rsidRDefault="0066025B" w:rsidP="006960DC">
      <w:pPr>
        <w:spacing w:after="0"/>
        <w:ind w:firstLine="284"/>
        <w:jc w:val="both"/>
        <w:rPr>
          <w:i/>
          <w:lang w:val="en-US" w:eastAsia="x-none"/>
        </w:rPr>
      </w:pPr>
    </w:p>
    <w:p w14:paraId="2F0729C1" w14:textId="77777777" w:rsidR="0034111C" w:rsidRPr="00A51522" w:rsidRDefault="0034111C">
      <w:pPr>
        <w:pStyle w:val="Heading1"/>
      </w:pPr>
      <w:r w:rsidRPr="00A51522">
        <w:t>References</w:t>
      </w:r>
      <w:r w:rsidR="00A2459D" w:rsidRPr="00A51522">
        <w:t xml:space="preserve"> </w:t>
      </w:r>
    </w:p>
    <w:p w14:paraId="40D99FF0" w14:textId="6E9FD27C"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0FE76431" w14:textId="256A8D2F" w:rsidR="00965609" w:rsidRDefault="00965609" w:rsidP="00965609">
      <w:pPr>
        <w:numPr>
          <w:ilvl w:val="0"/>
          <w:numId w:val="1"/>
        </w:numPr>
        <w:rPr>
          <w:sz w:val="18"/>
        </w:rPr>
      </w:pPr>
      <w:r>
        <w:rPr>
          <w:sz w:val="18"/>
          <w:lang w:eastAsia="zh-CN"/>
        </w:rPr>
        <w:t>3GPP, “RAN1 Chairman’s Notes”, RAN1#92bis</w:t>
      </w:r>
    </w:p>
    <w:p w14:paraId="03B70F88" w14:textId="6CE5455D" w:rsidR="00A4393E" w:rsidRDefault="00DF6E3F" w:rsidP="00DF6E3F">
      <w:pPr>
        <w:numPr>
          <w:ilvl w:val="0"/>
          <w:numId w:val="1"/>
        </w:numPr>
        <w:rPr>
          <w:sz w:val="18"/>
        </w:rPr>
      </w:pPr>
      <w:r w:rsidRPr="00DF6E3F">
        <w:rPr>
          <w:sz w:val="18"/>
          <w:lang w:eastAsia="zh-CN"/>
        </w:rPr>
        <w:t>R1-1612269</w:t>
      </w:r>
      <w:r w:rsidR="00A4393E">
        <w:rPr>
          <w:sz w:val="18"/>
          <w:lang w:eastAsia="zh-CN"/>
        </w:rPr>
        <w:t>, “</w:t>
      </w:r>
      <w:r w:rsidR="00A4393E" w:rsidRPr="006960DC">
        <w:rPr>
          <w:i/>
          <w:sz w:val="18"/>
          <w:lang w:eastAsia="zh-CN"/>
        </w:rPr>
        <w:t>On the number of symbols in slot with extended CP length</w:t>
      </w:r>
      <w:r w:rsidR="00A4393E">
        <w:rPr>
          <w:sz w:val="18"/>
          <w:lang w:eastAsia="zh-CN"/>
        </w:rPr>
        <w:t xml:space="preserve">”, </w:t>
      </w:r>
      <w:r w:rsidR="00A4393E">
        <w:rPr>
          <w:sz w:val="18"/>
          <w:szCs w:val="18"/>
          <w:lang w:eastAsia="zh-CN"/>
        </w:rPr>
        <w:t>Nokia, Nokia Shanghai Bell</w:t>
      </w:r>
    </w:p>
    <w:p w14:paraId="642ADF48" w14:textId="657F1DCB" w:rsidR="00D503C5" w:rsidRDefault="004A12D8" w:rsidP="004A12D8">
      <w:pPr>
        <w:numPr>
          <w:ilvl w:val="0"/>
          <w:numId w:val="1"/>
        </w:numPr>
        <w:rPr>
          <w:sz w:val="18"/>
          <w:szCs w:val="18"/>
        </w:rPr>
      </w:pPr>
      <w:r w:rsidRPr="004A12D8">
        <w:rPr>
          <w:rFonts w:ascii="Arial" w:hAnsi="Arial" w:cs="Arial"/>
          <w:color w:val="000000"/>
          <w:sz w:val="16"/>
          <w:szCs w:val="16"/>
        </w:rPr>
        <w:t>R1-1806107</w:t>
      </w:r>
      <w:r w:rsidR="00D503C5" w:rsidRPr="004A12D8">
        <w:rPr>
          <w:sz w:val="18"/>
          <w:szCs w:val="18"/>
        </w:rPr>
        <w:t>, “</w:t>
      </w:r>
      <w:r w:rsidRPr="006960DC">
        <w:rPr>
          <w:i/>
          <w:sz w:val="18"/>
          <w:szCs w:val="18"/>
        </w:rPr>
        <w:t>On Uplink Signal and Channel Structures for NR-U</w:t>
      </w:r>
      <w:r w:rsidR="00D503C5" w:rsidRPr="004A12D8">
        <w:rPr>
          <w:sz w:val="18"/>
          <w:szCs w:val="18"/>
        </w:rPr>
        <w:t>”</w:t>
      </w:r>
      <w:r w:rsidR="00D503C5" w:rsidRPr="004A12D8">
        <w:rPr>
          <w:i/>
          <w:sz w:val="18"/>
          <w:szCs w:val="18"/>
          <w:lang w:eastAsia="zh-CN"/>
        </w:rPr>
        <w:t xml:space="preserve">, </w:t>
      </w:r>
      <w:r w:rsidR="00D503C5" w:rsidRPr="004A12D8">
        <w:rPr>
          <w:sz w:val="18"/>
          <w:szCs w:val="18"/>
          <w:lang w:eastAsia="zh-CN"/>
        </w:rPr>
        <w:t>Nokia</w:t>
      </w:r>
      <w:r w:rsidR="00D503C5">
        <w:rPr>
          <w:sz w:val="18"/>
          <w:szCs w:val="18"/>
          <w:lang w:eastAsia="zh-CN"/>
        </w:rPr>
        <w:t>, Nokia Shanghai Bell</w:t>
      </w:r>
    </w:p>
    <w:p w14:paraId="312BB4ED" w14:textId="7789DF2B" w:rsidR="00F664F7" w:rsidRDefault="00F664F7" w:rsidP="00F664F7">
      <w:pPr>
        <w:numPr>
          <w:ilvl w:val="0"/>
          <w:numId w:val="1"/>
        </w:numPr>
        <w:rPr>
          <w:sz w:val="18"/>
          <w:szCs w:val="18"/>
        </w:rPr>
      </w:pPr>
      <w:r w:rsidRPr="00F664F7">
        <w:rPr>
          <w:sz w:val="18"/>
          <w:szCs w:val="18"/>
        </w:rPr>
        <w:t xml:space="preserve">R1-1806444, </w:t>
      </w:r>
      <w:r>
        <w:rPr>
          <w:sz w:val="18"/>
          <w:szCs w:val="18"/>
        </w:rPr>
        <w:t>“</w:t>
      </w:r>
      <w:r w:rsidRPr="006960DC">
        <w:rPr>
          <w:i/>
          <w:sz w:val="18"/>
          <w:szCs w:val="18"/>
        </w:rPr>
        <w:t>On Maximum TX Power for UL Interlace Structures</w:t>
      </w:r>
      <w:r>
        <w:rPr>
          <w:sz w:val="18"/>
          <w:szCs w:val="18"/>
        </w:rPr>
        <w:t>”</w:t>
      </w:r>
      <w:r w:rsidRPr="004A12D8">
        <w:rPr>
          <w:i/>
          <w:sz w:val="18"/>
          <w:szCs w:val="18"/>
          <w:lang w:eastAsia="zh-CN"/>
        </w:rPr>
        <w:t xml:space="preserve">, </w:t>
      </w:r>
      <w:r w:rsidRPr="004A12D8">
        <w:rPr>
          <w:sz w:val="18"/>
          <w:szCs w:val="18"/>
          <w:lang w:eastAsia="zh-CN"/>
        </w:rPr>
        <w:t>Nokia</w:t>
      </w:r>
      <w:r>
        <w:rPr>
          <w:sz w:val="18"/>
          <w:szCs w:val="18"/>
          <w:lang w:eastAsia="zh-CN"/>
        </w:rPr>
        <w:t>, Nokia Shanghai Bell</w:t>
      </w: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B43997">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1D86B" w14:textId="77777777" w:rsidR="001C59FE" w:rsidRDefault="001C59FE">
      <w:r>
        <w:separator/>
      </w:r>
    </w:p>
  </w:endnote>
  <w:endnote w:type="continuationSeparator" w:id="0">
    <w:p w14:paraId="562ED643" w14:textId="77777777" w:rsidR="001C59FE" w:rsidRDefault="001C59FE">
      <w:r>
        <w:continuationSeparator/>
      </w:r>
    </w:p>
  </w:endnote>
  <w:endnote w:type="continuationNotice" w:id="1">
    <w:p w14:paraId="3FAD5FA5" w14:textId="77777777" w:rsidR="001C59FE" w:rsidRDefault="001C5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A67B9" w:rsidRDefault="001A6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3FFD2" w14:textId="77777777" w:rsidR="001C59FE" w:rsidRDefault="001C59FE">
      <w:r>
        <w:separator/>
      </w:r>
    </w:p>
  </w:footnote>
  <w:footnote w:type="continuationSeparator" w:id="0">
    <w:p w14:paraId="15FCC181" w14:textId="77777777" w:rsidR="001C59FE" w:rsidRDefault="001C59FE">
      <w:r>
        <w:continuationSeparator/>
      </w:r>
    </w:p>
  </w:footnote>
  <w:footnote w:type="continuationNotice" w:id="1">
    <w:p w14:paraId="1389F008" w14:textId="77777777" w:rsidR="001C59FE" w:rsidRDefault="001C5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A67B9" w:rsidRDefault="001A6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D436B9B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84BA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0514CEE"/>
    <w:multiLevelType w:val="hybridMultilevel"/>
    <w:tmpl w:val="0130F2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0B433F2"/>
    <w:multiLevelType w:val="hybridMultilevel"/>
    <w:tmpl w:val="081C5E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A242F61"/>
    <w:multiLevelType w:val="hybridMultilevel"/>
    <w:tmpl w:val="CCEAD5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A51332"/>
    <w:multiLevelType w:val="hybridMultilevel"/>
    <w:tmpl w:val="1D7EE3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1"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3"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573F432C"/>
    <w:multiLevelType w:val="hybridMultilevel"/>
    <w:tmpl w:val="6DCA42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0F43E24"/>
    <w:multiLevelType w:val="hybridMultilevel"/>
    <w:tmpl w:val="64D476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D8B3F93"/>
    <w:multiLevelType w:val="hybridMultilevel"/>
    <w:tmpl w:val="6B8660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4"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1E477C3"/>
    <w:multiLevelType w:val="hybridMultilevel"/>
    <w:tmpl w:val="B1CA2D06"/>
    <w:lvl w:ilvl="0" w:tplc="53AED5BA">
      <w:start w:val="1"/>
      <w:numFmt w:val="bullet"/>
      <w:lvlText w:val="•"/>
      <w:lvlJc w:val="left"/>
      <w:pPr>
        <w:tabs>
          <w:tab w:val="num" w:pos="644"/>
        </w:tabs>
        <w:ind w:left="644" w:hanging="360"/>
      </w:pPr>
      <w:rPr>
        <w:rFonts w:ascii="Arial" w:hAnsi="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6"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7"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20"/>
  </w:num>
  <w:num w:numId="2">
    <w:abstractNumId w:val="28"/>
  </w:num>
  <w:num w:numId="3">
    <w:abstractNumId w:val="21"/>
  </w:num>
  <w:num w:numId="4">
    <w:abstractNumId w:val="12"/>
  </w:num>
  <w:num w:numId="5">
    <w:abstractNumId w:val="13"/>
  </w:num>
  <w:num w:numId="6">
    <w:abstractNumId w:val="18"/>
  </w:num>
  <w:num w:numId="7">
    <w:abstractNumId w:val="9"/>
  </w:num>
  <w:num w:numId="8">
    <w:abstractNumId w:val="25"/>
  </w:num>
  <w:num w:numId="9">
    <w:abstractNumId w:val="39"/>
  </w:num>
  <w:num w:numId="10">
    <w:abstractNumId w:val="33"/>
  </w:num>
  <w:num w:numId="11">
    <w:abstractNumId w:val="43"/>
  </w:num>
  <w:num w:numId="12">
    <w:abstractNumId w:val="7"/>
  </w:num>
  <w:num w:numId="13">
    <w:abstractNumId w:val="24"/>
  </w:num>
  <w:num w:numId="14">
    <w:abstractNumId w:val="31"/>
  </w:num>
  <w:num w:numId="15">
    <w:abstractNumId w:val="10"/>
  </w:num>
  <w:num w:numId="16">
    <w:abstractNumId w:val="15"/>
  </w:num>
  <w:num w:numId="17">
    <w:abstractNumId w:val="29"/>
  </w:num>
  <w:num w:numId="18">
    <w:abstractNumId w:val="44"/>
  </w:num>
  <w:num w:numId="19">
    <w:abstractNumId w:val="0"/>
  </w:num>
  <w:num w:numId="20">
    <w:abstractNumId w:val="4"/>
  </w:num>
  <w:num w:numId="21">
    <w:abstractNumId w:val="1"/>
  </w:num>
  <w:num w:numId="22">
    <w:abstractNumId w:val="36"/>
  </w:num>
  <w:num w:numId="23">
    <w:abstractNumId w:val="32"/>
  </w:num>
  <w:num w:numId="24">
    <w:abstractNumId w:val="19"/>
  </w:num>
  <w:num w:numId="25">
    <w:abstractNumId w:val="46"/>
  </w:num>
  <w:num w:numId="26">
    <w:abstractNumId w:val="38"/>
  </w:num>
  <w:num w:numId="27">
    <w:abstractNumId w:val="3"/>
  </w:num>
  <w:num w:numId="28">
    <w:abstractNumId w:val="41"/>
  </w:num>
  <w:num w:numId="29">
    <w:abstractNumId w:val="11"/>
  </w:num>
  <w:num w:numId="30">
    <w:abstractNumId w:val="23"/>
  </w:num>
  <w:num w:numId="31">
    <w:abstractNumId w:val="35"/>
  </w:num>
  <w:num w:numId="32">
    <w:abstractNumId w:val="42"/>
  </w:num>
  <w:num w:numId="33">
    <w:abstractNumId w:val="14"/>
  </w:num>
  <w:num w:numId="34">
    <w:abstractNumId w:val="30"/>
  </w:num>
  <w:num w:numId="35">
    <w:abstractNumId w:val="5"/>
  </w:num>
  <w:num w:numId="36">
    <w:abstractNumId w:val="6"/>
  </w:num>
  <w:num w:numId="37">
    <w:abstractNumId w:val="26"/>
  </w:num>
  <w:num w:numId="38">
    <w:abstractNumId w:val="16"/>
  </w:num>
  <w:num w:numId="39">
    <w:abstractNumId w:val="37"/>
  </w:num>
  <w:num w:numId="40">
    <w:abstractNumId w:val="40"/>
  </w:num>
  <w:num w:numId="41">
    <w:abstractNumId w:val="22"/>
  </w:num>
  <w:num w:numId="42">
    <w:abstractNumId w:val="2"/>
  </w:num>
  <w:num w:numId="43">
    <w:abstractNumId w:val="34"/>
  </w:num>
  <w:num w:numId="44">
    <w:abstractNumId w:val="27"/>
  </w:num>
  <w:num w:numId="45">
    <w:abstractNumId w:val="47"/>
  </w:num>
  <w:num w:numId="46">
    <w:abstractNumId w:val="45"/>
  </w:num>
  <w:num w:numId="47">
    <w:abstractNumId w:val="8"/>
  </w:num>
  <w:num w:numId="48">
    <w:abstractNumId w:val="17"/>
  </w:num>
  <w:num w:numId="49">
    <w:abstractNumId w:val="4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35CD6"/>
    <w:rsid w:val="000409AF"/>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6781"/>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15B2"/>
    <w:rsid w:val="000F19DE"/>
    <w:rsid w:val="000F2E1F"/>
    <w:rsid w:val="000F37B0"/>
    <w:rsid w:val="000F3836"/>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0DA9"/>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DA4"/>
    <w:rsid w:val="00155464"/>
    <w:rsid w:val="00155BFD"/>
    <w:rsid w:val="00155DBD"/>
    <w:rsid w:val="00156A19"/>
    <w:rsid w:val="00156DC3"/>
    <w:rsid w:val="00157390"/>
    <w:rsid w:val="00160998"/>
    <w:rsid w:val="00160CD6"/>
    <w:rsid w:val="0016163D"/>
    <w:rsid w:val="00161F86"/>
    <w:rsid w:val="00162A24"/>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E5A"/>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9FE"/>
    <w:rsid w:val="001C66AC"/>
    <w:rsid w:val="001C6754"/>
    <w:rsid w:val="001C77F0"/>
    <w:rsid w:val="001D04AA"/>
    <w:rsid w:val="001D217E"/>
    <w:rsid w:val="001D2EF5"/>
    <w:rsid w:val="001D46A0"/>
    <w:rsid w:val="001D49D6"/>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34DA"/>
    <w:rsid w:val="001F4136"/>
    <w:rsid w:val="001F4DAC"/>
    <w:rsid w:val="001F5019"/>
    <w:rsid w:val="001F650F"/>
    <w:rsid w:val="001F67AA"/>
    <w:rsid w:val="001F6DA3"/>
    <w:rsid w:val="001F7599"/>
    <w:rsid w:val="00200E97"/>
    <w:rsid w:val="0020189F"/>
    <w:rsid w:val="002025FC"/>
    <w:rsid w:val="00203A52"/>
    <w:rsid w:val="00204B3A"/>
    <w:rsid w:val="0020535A"/>
    <w:rsid w:val="00205642"/>
    <w:rsid w:val="002061BC"/>
    <w:rsid w:val="00206955"/>
    <w:rsid w:val="00207860"/>
    <w:rsid w:val="00210309"/>
    <w:rsid w:val="00212694"/>
    <w:rsid w:val="00212FB8"/>
    <w:rsid w:val="00213709"/>
    <w:rsid w:val="00214400"/>
    <w:rsid w:val="002149AF"/>
    <w:rsid w:val="00214A86"/>
    <w:rsid w:val="00215AAA"/>
    <w:rsid w:val="0021683C"/>
    <w:rsid w:val="00216856"/>
    <w:rsid w:val="002201EA"/>
    <w:rsid w:val="00221985"/>
    <w:rsid w:val="00221EC5"/>
    <w:rsid w:val="00222291"/>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B7212"/>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5066"/>
    <w:rsid w:val="002D6E49"/>
    <w:rsid w:val="002D7C86"/>
    <w:rsid w:val="002E0692"/>
    <w:rsid w:val="002E1D74"/>
    <w:rsid w:val="002E2943"/>
    <w:rsid w:val="002E2CF1"/>
    <w:rsid w:val="002E34A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CCE"/>
    <w:rsid w:val="00325D7A"/>
    <w:rsid w:val="00326145"/>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4C6B"/>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5463"/>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488"/>
    <w:rsid w:val="003F5547"/>
    <w:rsid w:val="003F5C40"/>
    <w:rsid w:val="003F5C78"/>
    <w:rsid w:val="003F6E12"/>
    <w:rsid w:val="003F75ED"/>
    <w:rsid w:val="004002B7"/>
    <w:rsid w:val="00400F31"/>
    <w:rsid w:val="00404844"/>
    <w:rsid w:val="00406B4D"/>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190"/>
    <w:rsid w:val="0044474B"/>
    <w:rsid w:val="00445F09"/>
    <w:rsid w:val="00445FF7"/>
    <w:rsid w:val="0044633D"/>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3BB"/>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631"/>
    <w:rsid w:val="0049070D"/>
    <w:rsid w:val="00490885"/>
    <w:rsid w:val="004914A9"/>
    <w:rsid w:val="004916FC"/>
    <w:rsid w:val="00491BE4"/>
    <w:rsid w:val="00491DB2"/>
    <w:rsid w:val="00492877"/>
    <w:rsid w:val="00492B27"/>
    <w:rsid w:val="00492DED"/>
    <w:rsid w:val="00496DC2"/>
    <w:rsid w:val="00496E75"/>
    <w:rsid w:val="004A014C"/>
    <w:rsid w:val="004A0AA8"/>
    <w:rsid w:val="004A12D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1C8D"/>
    <w:rsid w:val="004C2669"/>
    <w:rsid w:val="004C3EC7"/>
    <w:rsid w:val="004C3EEE"/>
    <w:rsid w:val="004C483D"/>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56F3"/>
    <w:rsid w:val="00525B2D"/>
    <w:rsid w:val="00525F32"/>
    <w:rsid w:val="005265A3"/>
    <w:rsid w:val="00526783"/>
    <w:rsid w:val="0052721C"/>
    <w:rsid w:val="00527C99"/>
    <w:rsid w:val="00527FB1"/>
    <w:rsid w:val="005314C5"/>
    <w:rsid w:val="0053162F"/>
    <w:rsid w:val="00531777"/>
    <w:rsid w:val="0053281C"/>
    <w:rsid w:val="00532877"/>
    <w:rsid w:val="005340C9"/>
    <w:rsid w:val="0053449F"/>
    <w:rsid w:val="00535AF7"/>
    <w:rsid w:val="005375FE"/>
    <w:rsid w:val="00537DE2"/>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47A"/>
    <w:rsid w:val="00570C3A"/>
    <w:rsid w:val="00570D9F"/>
    <w:rsid w:val="00571CA8"/>
    <w:rsid w:val="00574771"/>
    <w:rsid w:val="005758DF"/>
    <w:rsid w:val="00576A4A"/>
    <w:rsid w:val="00580793"/>
    <w:rsid w:val="00581470"/>
    <w:rsid w:val="00581893"/>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3C76"/>
    <w:rsid w:val="005B4045"/>
    <w:rsid w:val="005B49A7"/>
    <w:rsid w:val="005B609E"/>
    <w:rsid w:val="005B6DF6"/>
    <w:rsid w:val="005B6EA6"/>
    <w:rsid w:val="005B780E"/>
    <w:rsid w:val="005B7B7D"/>
    <w:rsid w:val="005C0F71"/>
    <w:rsid w:val="005C1948"/>
    <w:rsid w:val="005C245F"/>
    <w:rsid w:val="005C263C"/>
    <w:rsid w:val="005C2679"/>
    <w:rsid w:val="005C3863"/>
    <w:rsid w:val="005C41D4"/>
    <w:rsid w:val="005D0079"/>
    <w:rsid w:val="005D059A"/>
    <w:rsid w:val="005D07C5"/>
    <w:rsid w:val="005D1FF8"/>
    <w:rsid w:val="005D3AB9"/>
    <w:rsid w:val="005D4302"/>
    <w:rsid w:val="005D430F"/>
    <w:rsid w:val="005D4590"/>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75B"/>
    <w:rsid w:val="00615BEA"/>
    <w:rsid w:val="006176DB"/>
    <w:rsid w:val="0062152A"/>
    <w:rsid w:val="00621E3C"/>
    <w:rsid w:val="00622FCB"/>
    <w:rsid w:val="00623583"/>
    <w:rsid w:val="00624049"/>
    <w:rsid w:val="0062462F"/>
    <w:rsid w:val="00624BA1"/>
    <w:rsid w:val="0062661B"/>
    <w:rsid w:val="0062796B"/>
    <w:rsid w:val="00630118"/>
    <w:rsid w:val="00630959"/>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0D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A81"/>
    <w:rsid w:val="006D0E6B"/>
    <w:rsid w:val="006D1073"/>
    <w:rsid w:val="006D2146"/>
    <w:rsid w:val="006D4E7A"/>
    <w:rsid w:val="006D632E"/>
    <w:rsid w:val="006D6CA7"/>
    <w:rsid w:val="006E01FF"/>
    <w:rsid w:val="006E094A"/>
    <w:rsid w:val="006E12B1"/>
    <w:rsid w:val="006E13D1"/>
    <w:rsid w:val="006E1C1E"/>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4E2"/>
    <w:rsid w:val="007045DA"/>
    <w:rsid w:val="0071118B"/>
    <w:rsid w:val="007115D2"/>
    <w:rsid w:val="00711E13"/>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47640"/>
    <w:rsid w:val="00753BB5"/>
    <w:rsid w:val="007547B2"/>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1D6A"/>
    <w:rsid w:val="007A2559"/>
    <w:rsid w:val="007A36A9"/>
    <w:rsid w:val="007A39DF"/>
    <w:rsid w:val="007A43ED"/>
    <w:rsid w:val="007A4997"/>
    <w:rsid w:val="007A4BDD"/>
    <w:rsid w:val="007A4C98"/>
    <w:rsid w:val="007A72EE"/>
    <w:rsid w:val="007B0352"/>
    <w:rsid w:val="007B0397"/>
    <w:rsid w:val="007B056C"/>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D7D9D"/>
    <w:rsid w:val="007E25AB"/>
    <w:rsid w:val="007E2C70"/>
    <w:rsid w:val="007E331D"/>
    <w:rsid w:val="007E3C7B"/>
    <w:rsid w:val="007E4345"/>
    <w:rsid w:val="007E5AC2"/>
    <w:rsid w:val="007E6999"/>
    <w:rsid w:val="007E79C5"/>
    <w:rsid w:val="007F0036"/>
    <w:rsid w:val="007F0CDC"/>
    <w:rsid w:val="007F143A"/>
    <w:rsid w:val="007F1618"/>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2529"/>
    <w:rsid w:val="00843316"/>
    <w:rsid w:val="0084353E"/>
    <w:rsid w:val="00843A7A"/>
    <w:rsid w:val="008447F5"/>
    <w:rsid w:val="00845D44"/>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43F3"/>
    <w:rsid w:val="0087444A"/>
    <w:rsid w:val="00875139"/>
    <w:rsid w:val="00875410"/>
    <w:rsid w:val="00875659"/>
    <w:rsid w:val="00880783"/>
    <w:rsid w:val="008808D5"/>
    <w:rsid w:val="00880EDF"/>
    <w:rsid w:val="00881B9F"/>
    <w:rsid w:val="00881D4F"/>
    <w:rsid w:val="00882DE6"/>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D5E"/>
    <w:rsid w:val="008C57D6"/>
    <w:rsid w:val="008C603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34BE"/>
    <w:rsid w:val="008E42F4"/>
    <w:rsid w:val="008E5307"/>
    <w:rsid w:val="008E5657"/>
    <w:rsid w:val="008E5E51"/>
    <w:rsid w:val="008E65F2"/>
    <w:rsid w:val="008E721F"/>
    <w:rsid w:val="008E7D63"/>
    <w:rsid w:val="008F00DB"/>
    <w:rsid w:val="008F03E0"/>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1F7A"/>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5EBB"/>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219E"/>
    <w:rsid w:val="00A23069"/>
    <w:rsid w:val="00A238BD"/>
    <w:rsid w:val="00A243E4"/>
    <w:rsid w:val="00A2459D"/>
    <w:rsid w:val="00A24E23"/>
    <w:rsid w:val="00A25780"/>
    <w:rsid w:val="00A25F05"/>
    <w:rsid w:val="00A272F3"/>
    <w:rsid w:val="00A311AE"/>
    <w:rsid w:val="00A312A6"/>
    <w:rsid w:val="00A3130E"/>
    <w:rsid w:val="00A324CF"/>
    <w:rsid w:val="00A32E8B"/>
    <w:rsid w:val="00A32ED6"/>
    <w:rsid w:val="00A33F9C"/>
    <w:rsid w:val="00A344A5"/>
    <w:rsid w:val="00A346C3"/>
    <w:rsid w:val="00A34A89"/>
    <w:rsid w:val="00A35730"/>
    <w:rsid w:val="00A37134"/>
    <w:rsid w:val="00A37381"/>
    <w:rsid w:val="00A41E89"/>
    <w:rsid w:val="00A42A88"/>
    <w:rsid w:val="00A42D07"/>
    <w:rsid w:val="00A4393E"/>
    <w:rsid w:val="00A43D85"/>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2B7B"/>
    <w:rsid w:val="00A740E3"/>
    <w:rsid w:val="00A74692"/>
    <w:rsid w:val="00A7618B"/>
    <w:rsid w:val="00A7640B"/>
    <w:rsid w:val="00A7778B"/>
    <w:rsid w:val="00A803BC"/>
    <w:rsid w:val="00A80969"/>
    <w:rsid w:val="00A80C68"/>
    <w:rsid w:val="00A84805"/>
    <w:rsid w:val="00A858C5"/>
    <w:rsid w:val="00A86EA7"/>
    <w:rsid w:val="00A91244"/>
    <w:rsid w:val="00A91AA1"/>
    <w:rsid w:val="00A92776"/>
    <w:rsid w:val="00A93181"/>
    <w:rsid w:val="00A9342C"/>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6601"/>
    <w:rsid w:val="00AB674E"/>
    <w:rsid w:val="00AB6D63"/>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0A7D"/>
    <w:rsid w:val="00AE1257"/>
    <w:rsid w:val="00AE1498"/>
    <w:rsid w:val="00AE2FF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6FC5"/>
    <w:rsid w:val="00AF71D9"/>
    <w:rsid w:val="00AF7213"/>
    <w:rsid w:val="00AF7D92"/>
    <w:rsid w:val="00B011CC"/>
    <w:rsid w:val="00B01A0B"/>
    <w:rsid w:val="00B03340"/>
    <w:rsid w:val="00B04048"/>
    <w:rsid w:val="00B04DA6"/>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69F"/>
    <w:rsid w:val="00B639D7"/>
    <w:rsid w:val="00B644CF"/>
    <w:rsid w:val="00B64AA7"/>
    <w:rsid w:val="00B66594"/>
    <w:rsid w:val="00B67805"/>
    <w:rsid w:val="00B67C82"/>
    <w:rsid w:val="00B70A76"/>
    <w:rsid w:val="00B7113A"/>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51"/>
    <w:rsid w:val="00B84E9C"/>
    <w:rsid w:val="00B85522"/>
    <w:rsid w:val="00B869DF"/>
    <w:rsid w:val="00B90E2A"/>
    <w:rsid w:val="00B90F2A"/>
    <w:rsid w:val="00B9198D"/>
    <w:rsid w:val="00B93008"/>
    <w:rsid w:val="00B9406D"/>
    <w:rsid w:val="00B944C0"/>
    <w:rsid w:val="00B94BA7"/>
    <w:rsid w:val="00B94BE9"/>
    <w:rsid w:val="00B94C49"/>
    <w:rsid w:val="00B94E0E"/>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4BE"/>
    <w:rsid w:val="00BF7C74"/>
    <w:rsid w:val="00C00ED8"/>
    <w:rsid w:val="00C0208F"/>
    <w:rsid w:val="00C02367"/>
    <w:rsid w:val="00C02AE2"/>
    <w:rsid w:val="00C02E65"/>
    <w:rsid w:val="00C03309"/>
    <w:rsid w:val="00C067D5"/>
    <w:rsid w:val="00C072FE"/>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0B0D"/>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46D"/>
    <w:rsid w:val="00CB6F29"/>
    <w:rsid w:val="00CB71F8"/>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EAD"/>
    <w:rsid w:val="00D035B9"/>
    <w:rsid w:val="00D060FF"/>
    <w:rsid w:val="00D064E8"/>
    <w:rsid w:val="00D06572"/>
    <w:rsid w:val="00D065CD"/>
    <w:rsid w:val="00D06A32"/>
    <w:rsid w:val="00D07D93"/>
    <w:rsid w:val="00D112E1"/>
    <w:rsid w:val="00D1144C"/>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4A57"/>
    <w:rsid w:val="00D84C3B"/>
    <w:rsid w:val="00D854AC"/>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917"/>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6773"/>
    <w:rsid w:val="00DF6E3F"/>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3F64"/>
    <w:rsid w:val="00E16463"/>
    <w:rsid w:val="00E20921"/>
    <w:rsid w:val="00E20AD3"/>
    <w:rsid w:val="00E20CCC"/>
    <w:rsid w:val="00E239D1"/>
    <w:rsid w:val="00E26727"/>
    <w:rsid w:val="00E26970"/>
    <w:rsid w:val="00E27791"/>
    <w:rsid w:val="00E30F2D"/>
    <w:rsid w:val="00E313D4"/>
    <w:rsid w:val="00E3197F"/>
    <w:rsid w:val="00E319DB"/>
    <w:rsid w:val="00E31AFC"/>
    <w:rsid w:val="00E33B0B"/>
    <w:rsid w:val="00E3409E"/>
    <w:rsid w:val="00E34F76"/>
    <w:rsid w:val="00E3700A"/>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41F4"/>
    <w:rsid w:val="00E65041"/>
    <w:rsid w:val="00E65D15"/>
    <w:rsid w:val="00E66C49"/>
    <w:rsid w:val="00E67EE5"/>
    <w:rsid w:val="00E7013A"/>
    <w:rsid w:val="00E74F5D"/>
    <w:rsid w:val="00E76034"/>
    <w:rsid w:val="00E769A9"/>
    <w:rsid w:val="00E7751B"/>
    <w:rsid w:val="00E80371"/>
    <w:rsid w:val="00E80440"/>
    <w:rsid w:val="00E80515"/>
    <w:rsid w:val="00E81752"/>
    <w:rsid w:val="00E817E0"/>
    <w:rsid w:val="00E819FB"/>
    <w:rsid w:val="00E82B3D"/>
    <w:rsid w:val="00E82EE4"/>
    <w:rsid w:val="00E82F13"/>
    <w:rsid w:val="00E831E7"/>
    <w:rsid w:val="00E834D6"/>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7DA"/>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29B8"/>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3DC8"/>
    <w:rsid w:val="00F34350"/>
    <w:rsid w:val="00F34444"/>
    <w:rsid w:val="00F34F36"/>
    <w:rsid w:val="00F3609E"/>
    <w:rsid w:val="00F360A6"/>
    <w:rsid w:val="00F36F33"/>
    <w:rsid w:val="00F4065A"/>
    <w:rsid w:val="00F40D83"/>
    <w:rsid w:val="00F40F19"/>
    <w:rsid w:val="00F4275C"/>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F5F"/>
    <w:rsid w:val="00F64519"/>
    <w:rsid w:val="00F64D5B"/>
    <w:rsid w:val="00F657CF"/>
    <w:rsid w:val="00F664F7"/>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2C70"/>
    <w:rsid w:val="00FA3F80"/>
    <w:rsid w:val="00FA413A"/>
    <w:rsid w:val="00FA4144"/>
    <w:rsid w:val="00FA4DDF"/>
    <w:rsid w:val="00FA68DC"/>
    <w:rsid w:val="00FA6E7F"/>
    <w:rsid w:val="00FA7114"/>
    <w:rsid w:val="00FA73C0"/>
    <w:rsid w:val="00FB0553"/>
    <w:rsid w:val="00FB0826"/>
    <w:rsid w:val="00FB2379"/>
    <w:rsid w:val="00FB31C3"/>
    <w:rsid w:val="00FB4A7A"/>
    <w:rsid w:val="00FB4B8A"/>
    <w:rsid w:val="00FB5152"/>
    <w:rsid w:val="00FB59FD"/>
    <w:rsid w:val="00FB680E"/>
    <w:rsid w:val="00FC0065"/>
    <w:rsid w:val="00FC3AEE"/>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6822"/>
    <w:rsid w:val="00FF73D0"/>
    <w:rsid w:val="00FF7D43"/>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5AIRPNAIUNRU-1830940522-3340</_dlc_DocId>
    <_dlc_DocIdUrl xmlns="71c5aaf6-e6ce-465b-b873-5148d2a4c105">
      <Url>https://nokia.sharepoint.com/sites/c5g/5gradio/_layouts/15/DocIdRedir.aspx?ID=5AIRPNAIUNRU-1830940522-3340</Url>
      <Description>5AIRPNAIUNRU-1830940522-3340</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C41FA9A-C13E-4CE8-93AA-2D291E920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1957</Words>
  <Characters>15855</Characters>
  <Application>Microsoft Office Word</Application>
  <DocSecurity>0</DocSecurity>
  <Lines>132</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2016-06-20T11:35:00Z</cp:lastPrinted>
  <dcterms:created xsi:type="dcterms:W3CDTF">2018-05-11T09:17:00Z</dcterms:created>
  <dcterms:modified xsi:type="dcterms:W3CDTF">2018-05-11T09:19:00Z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6cf28883-308a-4910-a1d8-0ee7011f3d07</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